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18.xml" ContentType="application/vnd.openxmlformats-officedocument.wordprocessingml.header+xml"/>
  <Override PartName="/word/footer24.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1.xml" ContentType="application/vnd.openxmlformats-officedocument.wordprocessingml.header+xml"/>
  <Override PartName="/word/footer2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4.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sdt>
      <w:sdtPr>
        <w:id w:val="145936412"/>
        <w:docPartObj>
          <w:docPartGallery w:val="Custom Cover Pages"/>
          <w:docPartUnique/>
        </w:docPartObj>
      </w:sdtPr>
      <w:sdtEndPr/>
      <w:sdtContent>
        <w:p w14:paraId="66BE1120" w14:textId="2B4F8292" w:rsidR="00953471" w:rsidRDefault="00953471" w:rsidP="00CD6BF5">
          <w:pPr>
            <w:spacing w:before="80" w:after="80"/>
          </w:pPr>
          <w:r>
            <w:rPr>
              <w:noProof/>
            </w:rPr>
            <mc:AlternateContent>
              <mc:Choice Requires="wps">
                <w:drawing>
                  <wp:anchor distT="0" distB="0" distL="114300" distR="114300" simplePos="0" relativeHeight="251658240" behindDoc="1" locked="0" layoutInCell="1" allowOverlap="1" wp14:anchorId="24A3DD7B" wp14:editId="5436192D">
                    <wp:simplePos x="0" y="0"/>
                    <wp:positionH relativeFrom="margin">
                      <wp:posOffset>-541960</wp:posOffset>
                    </wp:positionH>
                    <wp:positionV relativeFrom="page">
                      <wp:posOffset>2280062</wp:posOffset>
                    </wp:positionV>
                    <wp:extent cx="7199630" cy="3437890"/>
                    <wp:effectExtent l="0" t="0" r="0" b="0"/>
                    <wp:wrapNone/>
                    <wp:docPr id="382164189" name="Rectangle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auto">
                            <a:xfrm>
                              <a:off x="0" y="0"/>
                              <a:ext cx="7199630" cy="3437890"/>
                            </a:xfrm>
                            <a:prstGeom prst="rect">
                              <a:avLst/>
                            </a:prstGeom>
                            <a:noFill/>
                            <a:ln>
                              <a:noFill/>
                            </a:ln>
                            <a:effectLst/>
                          </wps:spPr>
                          <wps:txbx>
                            <w:txbxContent>
                              <w:sdt>
                                <w:sdtPr>
                                  <w:rPr>
                                    <w:color w:val="0278AD" w:themeColor="accent1"/>
                                  </w:rPr>
                                  <w:alias w:val="Title"/>
                                  <w:tag w:val=""/>
                                  <w:id w:val="1500306091"/>
                                  <w:dataBinding w:prefixMappings="xmlns:ns0='http://purl.org/dc/elements/1.1/' xmlns:ns1='http://schemas.openxmlformats.org/package/2006/metadata/core-properties' " w:xpath="/ns1:coreProperties[1]/ns0:title[1]" w:storeItemID="{6C3C8BC8-F283-45AE-878A-BAB7291924A1}"/>
                                  <w:text/>
                                </w:sdtPr>
                                <w:sdtEndPr/>
                                <w:sdtContent>
                                  <w:p w14:paraId="62A7F101" w14:textId="2BC4E402" w:rsidR="00953471" w:rsidRPr="00CC0B16" w:rsidRDefault="0063751E" w:rsidP="00CD6BF5">
                                    <w:pPr>
                                      <w:pStyle w:val="Title"/>
                                      <w:rPr>
                                        <w:color w:val="0278AD" w:themeColor="accent1"/>
                                      </w:rPr>
                                    </w:pPr>
                                    <w:r>
                                      <w:rPr>
                                        <w:color w:val="0278AD" w:themeColor="accent1"/>
                                      </w:rPr>
                                      <w:t>Princess Royal Harbour CHRMAP</w:t>
                                    </w:r>
                                  </w:p>
                                </w:sdtContent>
                              </w:sdt>
                              <w:p w14:paraId="5FD598BD" w14:textId="208CD363" w:rsidR="00953471" w:rsidRPr="00E81526" w:rsidRDefault="00052E37" w:rsidP="00CD6BF5">
                                <w:pPr>
                                  <w:pStyle w:val="Subtitle"/>
                                  <w:rPr>
                                    <w:color w:val="59595B" w:themeColor="text2"/>
                                  </w:rPr>
                                </w:pPr>
                                <w:sdt>
                                  <w:sdtPr>
                                    <w:rPr>
                                      <w:color w:val="59595B" w:themeColor="text2"/>
                                    </w:rPr>
                                    <w:alias w:val="Project Name"/>
                                    <w:tag w:val="Project Name"/>
                                    <w:id w:val="876051424"/>
                                    <w:dataBinding w:prefixMappings="xmlns:ns0='http://WaterTech.com.au' " w:xpath="/ns0:WaterTech[1]/ns0:ProjectName[1]" w:storeItemID="{1214C560-496F-4E2F-AD2C-EBE50458B507}"/>
                                    <w:text/>
                                  </w:sdtPr>
                                  <w:sdtEndPr/>
                                  <w:sdtContent>
                                    <w:r w:rsidR="000631FB">
                                      <w:rPr>
                                        <w:color w:val="59595B" w:themeColor="text2"/>
                                      </w:rPr>
                                      <w:t>Summary Document</w:t>
                                    </w:r>
                                  </w:sdtContent>
                                </w:sdt>
                              </w:p>
                              <w:p w14:paraId="205181A6" w14:textId="5271CAE6" w:rsidR="00953471" w:rsidRPr="00D6221A" w:rsidRDefault="00052E37" w:rsidP="00CD6BF5">
                                <w:pPr>
                                  <w:pStyle w:val="ClientName"/>
                                  <w:rPr>
                                    <w:color w:val="59595B" w:themeColor="text2"/>
                                  </w:rPr>
                                </w:pPr>
                                <w:sdt>
                                  <w:sdtPr>
                                    <w:rPr>
                                      <w:color w:val="59595B" w:themeColor="text2"/>
                                    </w:rPr>
                                    <w:alias w:val="Client Name"/>
                                    <w:tag w:val="Client Name"/>
                                    <w:id w:val="-1369835320"/>
                                    <w:dataBinding w:prefixMappings="xmlns:ns0='http://WaterTech.com.au' " w:xpath="/ns0:WaterTech[1]/ns0:ClientName[1]" w:storeItemID="{1214C560-496F-4E2F-AD2C-EBE50458B507}"/>
                                    <w:text/>
                                  </w:sdtPr>
                                  <w:sdtEndPr/>
                                  <w:sdtContent>
                                    <w:r w:rsidR="0063751E">
                                      <w:rPr>
                                        <w:color w:val="59595B" w:themeColor="text2"/>
                                      </w:rPr>
                                      <w:t>City of Albany</w:t>
                                    </w:r>
                                  </w:sdtContent>
                                </w:sdt>
                              </w:p>
                              <w:sdt>
                                <w:sdtPr>
                                  <w:rPr>
                                    <w:color w:val="59595B" w:themeColor="text2"/>
                                  </w:rPr>
                                  <w:alias w:val="Document Date"/>
                                  <w:tag w:val="Publish Date"/>
                                  <w:id w:val="1907572042"/>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p w14:paraId="71E781DD" w14:textId="7CABB16E" w:rsidR="00953471" w:rsidRPr="00882057" w:rsidRDefault="000631FB" w:rsidP="00CD6BF5">
                                    <w:r>
                                      <w:rPr>
                                        <w:color w:val="59595B" w:themeColor="text2"/>
                                      </w:rPr>
                                      <w:t>19 April 2024</w:t>
                                    </w:r>
                                  </w:p>
                                </w:sdtContent>
                              </w:sdt>
                            </w:txbxContent>
                          </wps:txbx>
                          <wps:bodyPr rot="0" spcFirstLastPara="0" vertOverflow="overflow" horzOverflow="overflow" vert="horz" wrap="square" lIns="540000" tIns="360000" rIns="540000" bIns="360000" numCol="1" spcCol="0" rtlCol="0" fromWordArt="0" anchor="b"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A3DD7B" id="Rectangle 38" o:spid="_x0000_s1026" alt="&quot;&quot;" style="position:absolute;margin-left:-42.65pt;margin-top:179.55pt;width:566.9pt;height:270.7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" filled="f" stroked="f">
                    <v:textbox inset="15mm,10mm,15mm,10mm">
                      <w:txbxContent>
                        <w:sdt>
                          <w:sdtPr>
                            <w:rPr>
                              <w:color w:val="0278AD" w:themeColor="accent1"/>
                            </w:rPr>
                            <w:alias w:val="Title"/>
                            <w:tag w:val=""/>
                            <w:id w:val="1500306091"/>
                            <w:dataBinding w:prefixMappings="xmlns:ns0='http://purl.org/dc/elements/1.1/' xmlns:ns1='http://schemas.openxmlformats.org/package/2006/metadata/core-properties' " w:xpath="/ns1:coreProperties[1]/ns0:title[1]" w:storeItemID="{6C3C8BC8-F283-45AE-878A-BAB7291924A1}"/>
                            <w:text/>
                          </w:sdtPr>
                          <w:sdtEndPr/>
                          <w:sdtContent>
                            <w:p w14:paraId="62A7F101" w14:textId="2BC4E402" w:rsidR="00953471" w:rsidRPr="00CC0B16" w:rsidRDefault="0063751E" w:rsidP="00CD6BF5">
                              <w:pPr>
                                <w:pStyle w:val="Title"/>
                                <w:rPr>
                                  <w:color w:val="0278AD" w:themeColor="accent1"/>
                                </w:rPr>
                              </w:pPr>
                              <w:r>
                                <w:rPr>
                                  <w:color w:val="0278AD" w:themeColor="accent1"/>
                                </w:rPr>
                                <w:t>Princess Royal Harbour CHRMAP</w:t>
                              </w:r>
                            </w:p>
                          </w:sdtContent>
                        </w:sdt>
                        <w:p w14:paraId="5FD598BD" w14:textId="208CD363" w:rsidR="00953471" w:rsidRPr="00E81526" w:rsidRDefault="00052E37" w:rsidP="00CD6BF5">
                          <w:pPr>
                            <w:pStyle w:val="Subtitle"/>
                            <w:rPr>
                              <w:color w:val="59595B" w:themeColor="text2"/>
                            </w:rPr>
                          </w:pPr>
                          <w:sdt>
                            <w:sdtPr>
                              <w:rPr>
                                <w:color w:val="59595B" w:themeColor="text2"/>
                              </w:rPr>
                              <w:alias w:val="Project Name"/>
                              <w:tag w:val="Project Name"/>
                              <w:id w:val="876051424"/>
                              <w:dataBinding w:prefixMappings="xmlns:ns0='http://WaterTech.com.au' " w:xpath="/ns0:WaterTech[1]/ns0:ProjectName[1]" w:storeItemID="{1214C560-496F-4E2F-AD2C-EBE50458B507}"/>
                              <w:text/>
                            </w:sdtPr>
                            <w:sdtEndPr/>
                            <w:sdtContent>
                              <w:r w:rsidR="000631FB">
                                <w:rPr>
                                  <w:color w:val="59595B" w:themeColor="text2"/>
                                </w:rPr>
                                <w:t>Summary Document</w:t>
                              </w:r>
                            </w:sdtContent>
                          </w:sdt>
                        </w:p>
                        <w:p w14:paraId="205181A6" w14:textId="5271CAE6" w:rsidR="00953471" w:rsidRPr="00D6221A" w:rsidRDefault="00052E37" w:rsidP="00CD6BF5">
                          <w:pPr>
                            <w:pStyle w:val="ClientName"/>
                            <w:rPr>
                              <w:color w:val="59595B" w:themeColor="text2"/>
                            </w:rPr>
                          </w:pPr>
                          <w:sdt>
                            <w:sdtPr>
                              <w:rPr>
                                <w:color w:val="59595B" w:themeColor="text2"/>
                              </w:rPr>
                              <w:alias w:val="Client Name"/>
                              <w:tag w:val="Client Name"/>
                              <w:id w:val="-1369835320"/>
                              <w:dataBinding w:prefixMappings="xmlns:ns0='http://WaterTech.com.au' " w:xpath="/ns0:WaterTech[1]/ns0:ClientName[1]" w:storeItemID="{1214C560-496F-4E2F-AD2C-EBE50458B507}"/>
                              <w:text/>
                            </w:sdtPr>
                            <w:sdtEndPr/>
                            <w:sdtContent>
                              <w:r w:rsidR="0063751E">
                                <w:rPr>
                                  <w:color w:val="59595B" w:themeColor="text2"/>
                                </w:rPr>
                                <w:t>City of Albany</w:t>
                              </w:r>
                            </w:sdtContent>
                          </w:sdt>
                        </w:p>
                        <w:sdt>
                          <w:sdtPr>
                            <w:rPr>
                              <w:color w:val="59595B" w:themeColor="text2"/>
                            </w:rPr>
                            <w:alias w:val="Document Date"/>
                            <w:tag w:val="Publish Date"/>
                            <w:id w:val="1907572042"/>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p w14:paraId="71E781DD" w14:textId="7CABB16E" w:rsidR="00953471" w:rsidRPr="00882057" w:rsidRDefault="000631FB" w:rsidP="00CD6BF5">
                              <w:r>
                                <w:rPr>
                                  <w:color w:val="59595B" w:themeColor="text2"/>
                                </w:rPr>
                                <w:t>19 April 2024</w:t>
                              </w:r>
                            </w:p>
                          </w:sdtContent>
                        </w:sdt>
                      </w:txbxContent>
                    </v:textbox>
                    <w10:wrap anchorx="margin" anchory="page"/>
                  </v:rect>
                </w:pict>
              </mc:Fallback>
            </mc:AlternateContent>
          </w:r>
          <w:r>
            <w:rPr>
              <w:noProof/>
            </w:rPr>
            <w:drawing>
              <wp:anchor distT="0" distB="0" distL="114300" distR="114300" simplePos="0" relativeHeight="251660288" behindDoc="0" locked="0" layoutInCell="1" allowOverlap="1" wp14:anchorId="390E753C" wp14:editId="0FA27CC2">
                <wp:simplePos x="0" y="0"/>
                <wp:positionH relativeFrom="page">
                  <wp:posOffset>178130</wp:posOffset>
                </wp:positionH>
                <wp:positionV relativeFrom="page">
                  <wp:posOffset>7849590</wp:posOffset>
                </wp:positionV>
                <wp:extent cx="7199630" cy="2845435"/>
                <wp:effectExtent l="0" t="0" r="1270" b="0"/>
                <wp:wrapNone/>
                <wp:docPr id="343577527"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12924" name="Picture 1042112924">
                          <a:extLst>
                            <a:ext uri="{C183D7F6-B498-43B3-948B-1728B52AA6E4}">
                              <adec:decorative xmlns:adec="http://schemas.microsoft.com/office/drawing/2017/decorative" val="1"/>
                            </a:ext>
                          </a:extLst>
                        </pic:cNvPr>
                        <pic:cNvPicPr/>
                      </pic:nvPicPr>
                      <pic:blipFill rotWithShape="1">
                        <a:blip r:embed="rId10">
                          <a:extLst>
                            <a:ext uri="{28A0092B-C50C-407E-A947-70E740481C1C}">
                              <a14:useLocalDpi xmlns:a14="http://schemas.microsoft.com/office/drawing/2010/main" val="0"/>
                            </a:ext>
                          </a:extLst>
                        </a:blip>
                        <a:srcRect l="2483" r="2222"/>
                        <a:stretch/>
                      </pic:blipFill>
                      <pic:spPr bwMode="auto">
                        <a:xfrm>
                          <a:off x="0" y="0"/>
                          <a:ext cx="7199630" cy="2845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747CAE17" wp14:editId="3A70ACD0">
                <wp:simplePos x="0" y="0"/>
                <wp:positionH relativeFrom="margin">
                  <wp:align>left</wp:align>
                </wp:positionH>
                <wp:positionV relativeFrom="page">
                  <wp:posOffset>360045</wp:posOffset>
                </wp:positionV>
                <wp:extent cx="1944000" cy="932400"/>
                <wp:effectExtent l="0" t="0" r="0" b="1270"/>
                <wp:wrapNone/>
                <wp:docPr id="619803858"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36453" name="Picture 1994236453">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bwMode="auto">
                        <a:xfrm>
                          <a:off x="0" y="0"/>
                          <a:ext cx="1944000" cy="932400"/>
                        </a:xfrm>
                        <a:prstGeom prst="rect">
                          <a:avLst/>
                        </a:prstGeom>
                        <a:ln w="76200">
                          <a:noFill/>
                          <a:miter lim="800000"/>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dtContent>
    </w:sdt>
    <w:p w14:paraId="23021D89" w14:textId="77777777" w:rsidR="00AB3B28" w:rsidRPr="00792B38" w:rsidRDefault="00AB3B28">
      <w:pPr>
        <w:spacing w:before="80" w:after="80"/>
      </w:pPr>
    </w:p>
    <w:p w14:paraId="2333CA3E" w14:textId="77777777" w:rsidR="00AB3B28" w:rsidRPr="00792B38" w:rsidRDefault="00AB3B28">
      <w:pPr>
        <w:spacing w:before="80" w:after="80"/>
        <w:sectPr w:rsidR="00AB3B28" w:rsidRPr="00792B38" w:rsidSect="00F36A9A">
          <w:headerReference w:type="default" r:id="rId12"/>
          <w:footerReference w:type="default" r:id="rId13"/>
          <w:headerReference w:type="first" r:id="rId14"/>
          <w:pgSz w:w="11906" w:h="16838" w:code="9"/>
          <w:pgMar w:top="1985" w:right="1134" w:bottom="1701" w:left="1134" w:header="567" w:footer="567" w:gutter="0"/>
          <w:pgNumType w:start="0"/>
          <w:cols w:space="708"/>
          <w:titlePg/>
          <w:docGrid w:linePitch="360"/>
        </w:sectPr>
      </w:pPr>
    </w:p>
    <w:p w14:paraId="14E26C37" w14:textId="77777777" w:rsidR="00FA67A9" w:rsidRPr="00792B38" w:rsidRDefault="00FA67A9" w:rsidP="00B701C1">
      <w:pPr>
        <w:pStyle w:val="TOCHeading2"/>
      </w:pPr>
      <w:r w:rsidRPr="00792B38">
        <w:lastRenderedPageBreak/>
        <w:t>Document Status</w:t>
      </w:r>
    </w:p>
    <w:tbl>
      <w:tblPr>
        <w:tblW w:w="5000" w:type="pct"/>
        <w:tblBorders>
          <w:bottom w:val="single" w:sz="4" w:space="0" w:color="808080" w:themeColor="background1" w:themeShade="80"/>
          <w:insideH w:val="single" w:sz="4" w:space="0" w:color="808080" w:themeColor="background1" w:themeShade="80"/>
        </w:tblBorders>
        <w:tblCellMar>
          <w:left w:w="0" w:type="dxa"/>
          <w:right w:w="0" w:type="dxa"/>
        </w:tblCellMar>
        <w:tblLook w:val="0620" w:firstRow="1" w:lastRow="0" w:firstColumn="0" w:lastColumn="0" w:noHBand="1" w:noVBand="1"/>
      </w:tblPr>
      <w:tblGrid>
        <w:gridCol w:w="1540"/>
        <w:gridCol w:w="1542"/>
        <w:gridCol w:w="1912"/>
        <w:gridCol w:w="2460"/>
        <w:gridCol w:w="2184"/>
      </w:tblGrid>
      <w:tr w:rsidR="00FA67A9" w:rsidRPr="00792B38" w14:paraId="6224C17F" w14:textId="77777777" w:rsidTr="00E964E1">
        <w:tc>
          <w:tcPr>
            <w:tcW w:w="799" w:type="pct"/>
          </w:tcPr>
          <w:p w14:paraId="4D5E3C97" w14:textId="77777777" w:rsidR="00FA67A9" w:rsidRPr="00792B38" w:rsidRDefault="00FA67A9" w:rsidP="00A03815">
            <w:pPr>
              <w:pStyle w:val="TableHeading"/>
            </w:pPr>
            <w:r w:rsidRPr="00792B38">
              <w:t>Version</w:t>
            </w:r>
          </w:p>
        </w:tc>
        <w:tc>
          <w:tcPr>
            <w:tcW w:w="800" w:type="pct"/>
          </w:tcPr>
          <w:p w14:paraId="3347590E" w14:textId="77777777" w:rsidR="00FA67A9" w:rsidRPr="00792B38" w:rsidRDefault="00FA67A9" w:rsidP="00A03815">
            <w:pPr>
              <w:pStyle w:val="TableHeading"/>
            </w:pPr>
            <w:r w:rsidRPr="00792B38">
              <w:t>Doc type</w:t>
            </w:r>
          </w:p>
        </w:tc>
        <w:tc>
          <w:tcPr>
            <w:tcW w:w="992" w:type="pct"/>
          </w:tcPr>
          <w:p w14:paraId="53302CA6" w14:textId="77777777" w:rsidR="00FA67A9" w:rsidRPr="00792B38" w:rsidRDefault="00FA67A9" w:rsidP="00A03815">
            <w:pPr>
              <w:pStyle w:val="TableHeading"/>
            </w:pPr>
            <w:r w:rsidRPr="00792B38">
              <w:t>Reviewed by</w:t>
            </w:r>
          </w:p>
        </w:tc>
        <w:tc>
          <w:tcPr>
            <w:tcW w:w="1276" w:type="pct"/>
          </w:tcPr>
          <w:p w14:paraId="7A2DCFD7" w14:textId="77777777" w:rsidR="00FA67A9" w:rsidRPr="00792B38" w:rsidRDefault="00FA67A9" w:rsidP="00A03815">
            <w:pPr>
              <w:pStyle w:val="TableHeading"/>
            </w:pPr>
            <w:r w:rsidRPr="00792B38">
              <w:t>Approved by</w:t>
            </w:r>
          </w:p>
        </w:tc>
        <w:tc>
          <w:tcPr>
            <w:tcW w:w="1133" w:type="pct"/>
          </w:tcPr>
          <w:p w14:paraId="4A8B6EC1" w14:textId="77777777" w:rsidR="00FA67A9" w:rsidRPr="00792B38" w:rsidRDefault="00FA67A9" w:rsidP="00A03815">
            <w:pPr>
              <w:pStyle w:val="TableHeading"/>
            </w:pPr>
            <w:r w:rsidRPr="00792B38">
              <w:t>Date issued</w:t>
            </w:r>
          </w:p>
        </w:tc>
      </w:tr>
      <w:tr w:rsidR="00FA67A9" w:rsidRPr="00A03815" w14:paraId="43E32E81" w14:textId="77777777" w:rsidTr="00E964E1">
        <w:tc>
          <w:tcPr>
            <w:tcW w:w="799" w:type="pct"/>
          </w:tcPr>
          <w:p w14:paraId="372007BE" w14:textId="1DDD5741" w:rsidR="00FA67A9" w:rsidRPr="00A03815" w:rsidRDefault="001B218B" w:rsidP="00A03815">
            <w:pPr>
              <w:pStyle w:val="TableText"/>
            </w:pPr>
            <w:r>
              <w:t>V01</w:t>
            </w:r>
          </w:p>
        </w:tc>
        <w:tc>
          <w:tcPr>
            <w:tcW w:w="800" w:type="pct"/>
          </w:tcPr>
          <w:p w14:paraId="62D5DF5C" w14:textId="3C728278" w:rsidR="00FA67A9" w:rsidRPr="00A03815" w:rsidRDefault="001B218B" w:rsidP="00A03815">
            <w:pPr>
              <w:pStyle w:val="TableText"/>
            </w:pPr>
            <w:r>
              <w:t>Draft</w:t>
            </w:r>
            <w:r w:rsidR="003652EB">
              <w:t xml:space="preserve"> for Steering Committee</w:t>
            </w:r>
            <w:r w:rsidR="001906FC">
              <w:t xml:space="preserve"> Review</w:t>
            </w:r>
          </w:p>
        </w:tc>
        <w:tc>
          <w:tcPr>
            <w:tcW w:w="992" w:type="pct"/>
          </w:tcPr>
          <w:p w14:paraId="41E6B65F" w14:textId="33E1EB4F" w:rsidR="00FA67A9" w:rsidRPr="00A03815" w:rsidRDefault="001906FC" w:rsidP="00A03815">
            <w:pPr>
              <w:pStyle w:val="TableText"/>
            </w:pPr>
            <w:r>
              <w:t xml:space="preserve"> </w:t>
            </w:r>
            <w:r w:rsidR="00052E37">
              <w:t xml:space="preserve"> </w:t>
            </w:r>
            <w:r>
              <w:t>Nick Dugan</w:t>
            </w:r>
          </w:p>
        </w:tc>
        <w:tc>
          <w:tcPr>
            <w:tcW w:w="1276" w:type="pct"/>
          </w:tcPr>
          <w:p w14:paraId="4AEF2E35" w14:textId="2BEBE818" w:rsidR="00FA67A9" w:rsidRPr="00A03815" w:rsidRDefault="00C544B5" w:rsidP="00A03815">
            <w:pPr>
              <w:pStyle w:val="TableText"/>
            </w:pPr>
            <w:r>
              <w:t>Nick Dugan</w:t>
            </w:r>
          </w:p>
        </w:tc>
        <w:tc>
          <w:tcPr>
            <w:tcW w:w="1133" w:type="pct"/>
          </w:tcPr>
          <w:p w14:paraId="54CC7CF9" w14:textId="5D62E581" w:rsidR="00FA67A9" w:rsidRPr="00A03815" w:rsidRDefault="00C544B5" w:rsidP="00A03815">
            <w:pPr>
              <w:pStyle w:val="TableText"/>
            </w:pPr>
            <w:r>
              <w:t>19/04/2024</w:t>
            </w:r>
          </w:p>
        </w:tc>
      </w:tr>
      <w:tr w:rsidR="00FA67A9" w:rsidRPr="00A03815" w14:paraId="317B55CF" w14:textId="77777777" w:rsidTr="00E964E1">
        <w:tc>
          <w:tcPr>
            <w:tcW w:w="799" w:type="pct"/>
          </w:tcPr>
          <w:p w14:paraId="7D7BE0BA" w14:textId="77777777" w:rsidR="00FA67A9" w:rsidRPr="00A03815" w:rsidRDefault="00FA67A9" w:rsidP="00A03815">
            <w:pPr>
              <w:pStyle w:val="TableText"/>
            </w:pPr>
          </w:p>
        </w:tc>
        <w:tc>
          <w:tcPr>
            <w:tcW w:w="800" w:type="pct"/>
          </w:tcPr>
          <w:p w14:paraId="146945EB" w14:textId="77777777" w:rsidR="00FA67A9" w:rsidRPr="00A03815" w:rsidRDefault="00FA67A9" w:rsidP="00A03815">
            <w:pPr>
              <w:pStyle w:val="TableText"/>
            </w:pPr>
          </w:p>
        </w:tc>
        <w:tc>
          <w:tcPr>
            <w:tcW w:w="992" w:type="pct"/>
          </w:tcPr>
          <w:p w14:paraId="25AC1613" w14:textId="77777777" w:rsidR="00FA67A9" w:rsidRPr="00A03815" w:rsidRDefault="00FA67A9" w:rsidP="00A03815">
            <w:pPr>
              <w:pStyle w:val="TableText"/>
            </w:pPr>
          </w:p>
        </w:tc>
        <w:tc>
          <w:tcPr>
            <w:tcW w:w="1276" w:type="pct"/>
          </w:tcPr>
          <w:p w14:paraId="55D7983D" w14:textId="77777777" w:rsidR="00FA67A9" w:rsidRPr="00A03815" w:rsidRDefault="00FA67A9" w:rsidP="00A03815">
            <w:pPr>
              <w:pStyle w:val="TableText"/>
            </w:pPr>
          </w:p>
        </w:tc>
        <w:tc>
          <w:tcPr>
            <w:tcW w:w="1133" w:type="pct"/>
          </w:tcPr>
          <w:p w14:paraId="4AF844FC" w14:textId="77777777" w:rsidR="00FA67A9" w:rsidRPr="00A03815" w:rsidRDefault="00FA67A9" w:rsidP="00A03815">
            <w:pPr>
              <w:pStyle w:val="TableText"/>
            </w:pPr>
          </w:p>
        </w:tc>
      </w:tr>
      <w:tr w:rsidR="00FA67A9" w:rsidRPr="00A03815" w14:paraId="3D35B407" w14:textId="77777777" w:rsidTr="00E964E1">
        <w:tc>
          <w:tcPr>
            <w:tcW w:w="799" w:type="pct"/>
          </w:tcPr>
          <w:p w14:paraId="6397AD01" w14:textId="77777777" w:rsidR="00FA67A9" w:rsidRPr="00A03815" w:rsidRDefault="00FA67A9" w:rsidP="00A03815">
            <w:pPr>
              <w:pStyle w:val="TableText"/>
            </w:pPr>
          </w:p>
        </w:tc>
        <w:tc>
          <w:tcPr>
            <w:tcW w:w="800" w:type="pct"/>
          </w:tcPr>
          <w:p w14:paraId="4CD4F227" w14:textId="77777777" w:rsidR="00FA67A9" w:rsidRPr="00A03815" w:rsidRDefault="00FA67A9" w:rsidP="00A03815">
            <w:pPr>
              <w:pStyle w:val="TableText"/>
            </w:pPr>
          </w:p>
        </w:tc>
        <w:tc>
          <w:tcPr>
            <w:tcW w:w="992" w:type="pct"/>
          </w:tcPr>
          <w:p w14:paraId="205AA680" w14:textId="77777777" w:rsidR="00FA67A9" w:rsidRPr="00A03815" w:rsidRDefault="00FA67A9" w:rsidP="00A03815">
            <w:pPr>
              <w:pStyle w:val="TableText"/>
            </w:pPr>
          </w:p>
        </w:tc>
        <w:tc>
          <w:tcPr>
            <w:tcW w:w="1276" w:type="pct"/>
          </w:tcPr>
          <w:p w14:paraId="50B2384B" w14:textId="77777777" w:rsidR="00FA67A9" w:rsidRPr="00A03815" w:rsidRDefault="00FA67A9" w:rsidP="00A03815">
            <w:pPr>
              <w:pStyle w:val="TableText"/>
            </w:pPr>
          </w:p>
        </w:tc>
        <w:tc>
          <w:tcPr>
            <w:tcW w:w="1133" w:type="pct"/>
          </w:tcPr>
          <w:p w14:paraId="60266D23" w14:textId="77777777" w:rsidR="00FA67A9" w:rsidRPr="00A03815" w:rsidRDefault="00FA67A9" w:rsidP="00A03815">
            <w:pPr>
              <w:pStyle w:val="TableText"/>
            </w:pPr>
          </w:p>
        </w:tc>
      </w:tr>
      <w:tr w:rsidR="00FA67A9" w:rsidRPr="00A03815" w14:paraId="790DEE19" w14:textId="77777777" w:rsidTr="00E964E1">
        <w:tc>
          <w:tcPr>
            <w:tcW w:w="799" w:type="pct"/>
          </w:tcPr>
          <w:p w14:paraId="504841FD" w14:textId="77777777" w:rsidR="00FA67A9" w:rsidRPr="00A03815" w:rsidRDefault="00FA67A9" w:rsidP="00A03815">
            <w:pPr>
              <w:pStyle w:val="TableText"/>
            </w:pPr>
          </w:p>
        </w:tc>
        <w:tc>
          <w:tcPr>
            <w:tcW w:w="800" w:type="pct"/>
          </w:tcPr>
          <w:p w14:paraId="7F1871C1" w14:textId="77777777" w:rsidR="00FA67A9" w:rsidRPr="00A03815" w:rsidRDefault="00FA67A9" w:rsidP="00A03815">
            <w:pPr>
              <w:pStyle w:val="TableText"/>
            </w:pPr>
          </w:p>
        </w:tc>
        <w:tc>
          <w:tcPr>
            <w:tcW w:w="992" w:type="pct"/>
          </w:tcPr>
          <w:p w14:paraId="67D0FA10" w14:textId="77777777" w:rsidR="00FA67A9" w:rsidRPr="00A03815" w:rsidRDefault="00FA67A9" w:rsidP="00A03815">
            <w:pPr>
              <w:pStyle w:val="TableText"/>
            </w:pPr>
          </w:p>
        </w:tc>
        <w:tc>
          <w:tcPr>
            <w:tcW w:w="1276" w:type="pct"/>
          </w:tcPr>
          <w:p w14:paraId="571628E1" w14:textId="77777777" w:rsidR="00FA67A9" w:rsidRPr="00A03815" w:rsidRDefault="00FA67A9" w:rsidP="00A03815">
            <w:pPr>
              <w:pStyle w:val="TableText"/>
            </w:pPr>
          </w:p>
        </w:tc>
        <w:tc>
          <w:tcPr>
            <w:tcW w:w="1133" w:type="pct"/>
          </w:tcPr>
          <w:p w14:paraId="082B1D41" w14:textId="77777777" w:rsidR="00FA67A9" w:rsidRPr="00A03815" w:rsidRDefault="00FA67A9" w:rsidP="00A03815">
            <w:pPr>
              <w:pStyle w:val="TableText"/>
            </w:pPr>
          </w:p>
        </w:tc>
      </w:tr>
    </w:tbl>
    <w:p w14:paraId="26742AB9" w14:textId="77777777" w:rsidR="00FA67A9" w:rsidRPr="00792B38" w:rsidRDefault="00FA67A9" w:rsidP="00FA67A9"/>
    <w:p w14:paraId="5197B593" w14:textId="77777777" w:rsidR="00FA67A9" w:rsidRPr="00792B38" w:rsidRDefault="00FA67A9" w:rsidP="00B701C1">
      <w:pPr>
        <w:pStyle w:val="TOCHeading2"/>
      </w:pPr>
      <w:r w:rsidRPr="00792B38">
        <w:t>Project Details</w:t>
      </w:r>
    </w:p>
    <w:tbl>
      <w:tblPr>
        <w:tblStyle w:val="TableNoBorders"/>
        <w:tblW w:w="0" w:type="auto"/>
        <w:tblLook w:val="0620" w:firstRow="1" w:lastRow="0" w:firstColumn="0" w:lastColumn="0" w:noHBand="1" w:noVBand="1"/>
      </w:tblPr>
      <w:tblGrid>
        <w:gridCol w:w="3686"/>
        <w:gridCol w:w="5952"/>
      </w:tblGrid>
      <w:tr w:rsidR="00B924EC" w:rsidRPr="00792B38" w14:paraId="4C462FAC" w14:textId="77777777" w:rsidTr="00617D19">
        <w:tc>
          <w:tcPr>
            <w:tcW w:w="3686" w:type="dxa"/>
          </w:tcPr>
          <w:p w14:paraId="441DB559" w14:textId="77777777" w:rsidR="00FA67A9" w:rsidRPr="00A03815" w:rsidRDefault="00FA67A9" w:rsidP="00A03815">
            <w:pPr>
              <w:pStyle w:val="TableHeading"/>
            </w:pPr>
            <w:r w:rsidRPr="00A03815">
              <w:t>Project Name</w:t>
            </w:r>
          </w:p>
        </w:tc>
        <w:tc>
          <w:tcPr>
            <w:tcW w:w="5953" w:type="dxa"/>
          </w:tcPr>
          <w:p w14:paraId="42C2F538" w14:textId="1A67AE14" w:rsidR="00FA67A9" w:rsidRPr="00792B38" w:rsidRDefault="000631FB" w:rsidP="00590B24">
            <w:pPr>
              <w:pStyle w:val="TableText"/>
            </w:pPr>
            <w:r>
              <w:t>Princess Royal Harbour CHRMAP</w:t>
            </w:r>
          </w:p>
        </w:tc>
      </w:tr>
      <w:tr w:rsidR="00B924EC" w:rsidRPr="00792B38" w14:paraId="51F1558B" w14:textId="77777777" w:rsidTr="00617D19">
        <w:tc>
          <w:tcPr>
            <w:tcW w:w="3686" w:type="dxa"/>
          </w:tcPr>
          <w:p w14:paraId="3B9FBA84" w14:textId="77777777" w:rsidR="00FA67A9" w:rsidRPr="00A03815" w:rsidRDefault="00FA67A9" w:rsidP="00A03815">
            <w:pPr>
              <w:pStyle w:val="TableHeading"/>
            </w:pPr>
            <w:r w:rsidRPr="00A03815">
              <w:t>Client</w:t>
            </w:r>
          </w:p>
        </w:tc>
        <w:tc>
          <w:tcPr>
            <w:tcW w:w="5953" w:type="dxa"/>
          </w:tcPr>
          <w:p w14:paraId="79C33C68" w14:textId="3901B6AD" w:rsidR="00FA67A9" w:rsidRPr="00792B38" w:rsidRDefault="00052E37" w:rsidP="00590B24">
            <w:pPr>
              <w:pStyle w:val="TableText"/>
            </w:pPr>
            <w:sdt>
              <w:sdtPr>
                <w:rPr>
                  <w:rFonts w:eastAsia="Times New Roman" w:cs="Times New Roman"/>
                  <w:szCs w:val="24"/>
                  <w:lang w:eastAsia="en-AU"/>
                </w:rPr>
                <w:alias w:val="Client Name"/>
                <w:tag w:val="Client Name"/>
                <w:id w:val="-1631160460"/>
                <w:placeholder>
                  <w:docPart w:val="AD5A149BFD894CDAB34A7BA12BD1CED1"/>
                </w:placeholder>
                <w:dataBinding w:prefixMappings="xmlns:ns0='http://WaterTech.com.au' " w:xpath="/ns0:WaterTech[1]/ns0:ClientName[1]" w:storeItemID="{1214C560-496F-4E2F-AD2C-EBE50458B507}"/>
                <w:text/>
              </w:sdtPr>
              <w:sdtEndPr/>
              <w:sdtContent>
                <w:r w:rsidR="0063751E">
                  <w:rPr>
                    <w:rFonts w:eastAsia="Times New Roman" w:cs="Times New Roman"/>
                    <w:szCs w:val="24"/>
                    <w:lang w:eastAsia="en-AU"/>
                  </w:rPr>
                  <w:t>City of Albany</w:t>
                </w:r>
              </w:sdtContent>
            </w:sdt>
          </w:p>
        </w:tc>
      </w:tr>
      <w:tr w:rsidR="00B924EC" w:rsidRPr="00792B38" w14:paraId="61EF6DC0" w14:textId="77777777" w:rsidTr="00617D19">
        <w:tc>
          <w:tcPr>
            <w:tcW w:w="3686" w:type="dxa"/>
          </w:tcPr>
          <w:p w14:paraId="326BA7C3" w14:textId="77777777" w:rsidR="00FA67A9" w:rsidRPr="00A03815" w:rsidRDefault="00FA67A9" w:rsidP="00A03815">
            <w:pPr>
              <w:pStyle w:val="TableHeading"/>
            </w:pPr>
            <w:r w:rsidRPr="00A03815">
              <w:t>Client Project Manager</w:t>
            </w:r>
          </w:p>
        </w:tc>
        <w:tc>
          <w:tcPr>
            <w:tcW w:w="5953" w:type="dxa"/>
          </w:tcPr>
          <w:p w14:paraId="670FBDC0" w14:textId="74E3AF09" w:rsidR="00FA67A9" w:rsidRPr="00792B38" w:rsidRDefault="00052E37" w:rsidP="00590B24">
            <w:pPr>
              <w:pStyle w:val="TableText"/>
            </w:pPr>
            <w:sdt>
              <w:sdtPr>
                <w:rPr>
                  <w:rFonts w:eastAsia="Times New Roman" w:cs="Times New Roman"/>
                  <w:szCs w:val="24"/>
                  <w:lang w:eastAsia="en-AU"/>
                </w:rPr>
                <w:alias w:val="Client Project Manager"/>
                <w:tag w:val="Client Project Manager"/>
                <w:id w:val="-1503271610"/>
                <w:placeholder>
                  <w:docPart w:val="293FE20839CF457181870D337ABB2A4D"/>
                </w:placeholder>
                <w:dataBinding w:prefixMappings="xmlns:ns0='http://WaterTech.com.au' " w:xpath="/ns0:WaterTech[1]/ns0:ClientProjectManager[1]" w:storeItemID="{1214C560-496F-4E2F-AD2C-EBE50458B507}"/>
                <w:text/>
              </w:sdtPr>
              <w:sdtEndPr/>
              <w:sdtContent>
                <w:r w:rsidR="005071E2">
                  <w:rPr>
                    <w:rFonts w:eastAsia="Times New Roman" w:cs="Times New Roman"/>
                    <w:szCs w:val="24"/>
                    <w:lang w:eastAsia="en-AU"/>
                  </w:rPr>
                  <w:t>Adrian Nicoll</w:t>
                </w:r>
              </w:sdtContent>
            </w:sdt>
          </w:p>
        </w:tc>
      </w:tr>
      <w:tr w:rsidR="00B924EC" w:rsidRPr="00792B38" w14:paraId="7CE0031E" w14:textId="77777777" w:rsidTr="00617D19">
        <w:tc>
          <w:tcPr>
            <w:tcW w:w="3686" w:type="dxa"/>
          </w:tcPr>
          <w:p w14:paraId="39525A62" w14:textId="77777777" w:rsidR="00FA67A9" w:rsidRPr="00A03815" w:rsidRDefault="00FA67A9" w:rsidP="00A03815">
            <w:pPr>
              <w:pStyle w:val="TableHeading"/>
            </w:pPr>
            <w:r w:rsidRPr="00A03815">
              <w:t>Water Technology Project Manager</w:t>
            </w:r>
          </w:p>
        </w:tc>
        <w:tc>
          <w:tcPr>
            <w:tcW w:w="5953" w:type="dxa"/>
          </w:tcPr>
          <w:p w14:paraId="27623034" w14:textId="7AE8632E" w:rsidR="00FA67A9" w:rsidRPr="00792B38" w:rsidRDefault="00052E37" w:rsidP="00590B24">
            <w:pPr>
              <w:pStyle w:val="TableText"/>
            </w:pPr>
            <w:sdt>
              <w:sdtPr>
                <w:rPr>
                  <w:rFonts w:eastAsia="Times New Roman" w:cs="Times New Roman"/>
                  <w:szCs w:val="24"/>
                  <w:lang w:eastAsia="en-AU"/>
                </w:rPr>
                <w:alias w:val="Water Tech Project Manager"/>
                <w:tag w:val="Water Tech Project Manager"/>
                <w:id w:val="-280878229"/>
                <w:placeholder>
                  <w:docPart w:val="4979B54BE6234BF3A324E14E69FC8719"/>
                </w:placeholder>
                <w:dataBinding w:prefixMappings="xmlns:ns0='http://WaterTech.com.au' " w:xpath="/ns0:WaterTech[1]/ns0:WaterTechProjectManager[1]" w:storeItemID="{1214C560-496F-4E2F-AD2C-EBE50458B507}"/>
                <w:text/>
              </w:sdtPr>
              <w:sdtEndPr/>
              <w:sdtContent>
                <w:r w:rsidR="005071E2">
                  <w:rPr>
                    <w:rFonts w:eastAsia="Times New Roman" w:cs="Times New Roman"/>
                    <w:szCs w:val="24"/>
                    <w:lang w:eastAsia="en-AU"/>
                  </w:rPr>
                  <w:t>Astrid Stuer</w:t>
                </w:r>
              </w:sdtContent>
            </w:sdt>
          </w:p>
        </w:tc>
      </w:tr>
      <w:tr w:rsidR="002621E3" w:rsidRPr="00792B38" w14:paraId="29D5FB7A" w14:textId="77777777" w:rsidTr="00617D19">
        <w:tc>
          <w:tcPr>
            <w:tcW w:w="3686" w:type="dxa"/>
          </w:tcPr>
          <w:p w14:paraId="38E499FF" w14:textId="77777777" w:rsidR="002621E3" w:rsidRPr="00A03815" w:rsidRDefault="002621E3" w:rsidP="00A03815">
            <w:pPr>
              <w:pStyle w:val="TableHeading"/>
            </w:pPr>
            <w:r w:rsidRPr="00A03815">
              <w:t>Water Technology Project Director</w:t>
            </w:r>
          </w:p>
        </w:tc>
        <w:tc>
          <w:tcPr>
            <w:tcW w:w="5953" w:type="dxa"/>
          </w:tcPr>
          <w:p w14:paraId="34F4AE78" w14:textId="162FCA9B" w:rsidR="002621E3" w:rsidRPr="00792B38" w:rsidRDefault="00052E37" w:rsidP="00590B24">
            <w:pPr>
              <w:pStyle w:val="TableText"/>
            </w:pPr>
            <w:sdt>
              <w:sdtPr>
                <w:rPr>
                  <w:rFonts w:eastAsia="Times New Roman" w:cs="Times New Roman"/>
                  <w:szCs w:val="24"/>
                  <w:lang w:eastAsia="en-AU"/>
                </w:rPr>
                <w:alias w:val="Water Tech Project Director"/>
                <w:tag w:val="Water Tech Project Director"/>
                <w:id w:val="1195969043"/>
                <w:placeholder>
                  <w:docPart w:val="7F652BC043AE4E08A096D4663311250D"/>
                </w:placeholder>
                <w:dataBinding w:prefixMappings="xmlns:ns0='http://WaterTech.com.au' " w:xpath="/ns0:WaterTech[1]/ns0:WaterTechProjectDirector[1]" w:storeItemID="{1214C560-496F-4E2F-AD2C-EBE50458B507}"/>
                <w:text/>
              </w:sdtPr>
              <w:sdtEndPr/>
              <w:sdtContent>
                <w:r w:rsidR="005071E2">
                  <w:rPr>
                    <w:rFonts w:eastAsia="Times New Roman" w:cs="Times New Roman"/>
                    <w:szCs w:val="24"/>
                    <w:lang w:eastAsia="en-AU"/>
                  </w:rPr>
                  <w:t>Gildas Colleter</w:t>
                </w:r>
              </w:sdtContent>
            </w:sdt>
          </w:p>
        </w:tc>
      </w:tr>
      <w:tr w:rsidR="00B924EC" w:rsidRPr="00792B38" w14:paraId="42487194" w14:textId="77777777" w:rsidTr="00617D19">
        <w:tc>
          <w:tcPr>
            <w:tcW w:w="3686" w:type="dxa"/>
          </w:tcPr>
          <w:p w14:paraId="111D2E8C" w14:textId="77777777" w:rsidR="00FA67A9" w:rsidRPr="00A03815" w:rsidRDefault="00FA67A9" w:rsidP="00A03815">
            <w:pPr>
              <w:pStyle w:val="TableHeading"/>
            </w:pPr>
            <w:r w:rsidRPr="00A03815">
              <w:t>Authors</w:t>
            </w:r>
          </w:p>
        </w:tc>
        <w:sdt>
          <w:sdtPr>
            <w:alias w:val="Author"/>
            <w:id w:val="12089837"/>
            <w:placeholder>
              <w:docPart w:val="CB396F33A1A849C7A6C407AE71F72CC1"/>
            </w:placeholder>
            <w:dataBinding w:prefixMappings="xmlns:ns0='http://purl.org/dc/elements/1.1/' xmlns:ns1='http://schemas.openxmlformats.org/package/2006/metadata/core-properties' " w:xpath="/ns1:coreProperties[1]/ns0:creator[1]" w:storeItemID="{6C3C8BC8-F283-45AE-878A-BAB7291924A1}"/>
            <w:text/>
          </w:sdtPr>
          <w:sdtEndPr/>
          <w:sdtContent>
            <w:tc>
              <w:tcPr>
                <w:tcW w:w="5953" w:type="dxa"/>
              </w:tcPr>
              <w:p w14:paraId="278F5F51" w14:textId="36448C14" w:rsidR="00FA67A9" w:rsidRPr="00792B38" w:rsidRDefault="00F36A9A" w:rsidP="00590B24">
                <w:pPr>
                  <w:pStyle w:val="TableText"/>
                </w:pPr>
                <w:r>
                  <w:t>Karl Ilich</w:t>
                </w:r>
              </w:p>
            </w:tc>
          </w:sdtContent>
        </w:sdt>
      </w:tr>
      <w:tr w:rsidR="00B924EC" w:rsidRPr="00792B38" w14:paraId="276B7543" w14:textId="77777777" w:rsidTr="00617D19">
        <w:tc>
          <w:tcPr>
            <w:tcW w:w="3686" w:type="dxa"/>
          </w:tcPr>
          <w:p w14:paraId="703A1BB8" w14:textId="77777777" w:rsidR="00FA67A9" w:rsidRPr="00A03815" w:rsidRDefault="009041FC" w:rsidP="00A03815">
            <w:pPr>
              <w:pStyle w:val="TableHeading"/>
            </w:pPr>
            <w:r w:rsidRPr="00A03815">
              <w:t>Document</w:t>
            </w:r>
            <w:r w:rsidR="00FA67A9" w:rsidRPr="00A03815">
              <w:t xml:space="preserve"> Number</w:t>
            </w:r>
          </w:p>
        </w:tc>
        <w:tc>
          <w:tcPr>
            <w:tcW w:w="5953" w:type="dxa"/>
          </w:tcPr>
          <w:p w14:paraId="004663B3" w14:textId="6A149D42" w:rsidR="00FA67A9" w:rsidRPr="00792B38" w:rsidRDefault="005071E2" w:rsidP="00590B24">
            <w:pPr>
              <w:pStyle w:val="TableText"/>
            </w:pPr>
            <w:r w:rsidRPr="005071E2">
              <w:rPr>
                <w:noProof/>
              </w:rPr>
              <w:t>22040008_R07v01</w:t>
            </w:r>
          </w:p>
        </w:tc>
      </w:tr>
    </w:tbl>
    <w:p w14:paraId="607E5DC3" w14:textId="77777777" w:rsidR="00FA67A9" w:rsidRPr="00792B38" w:rsidRDefault="00FA67A9" w:rsidP="00FA67A9">
      <w:pPr>
        <w:tabs>
          <w:tab w:val="left" w:pos="1088"/>
        </w:tabs>
      </w:pPr>
    </w:p>
    <w:tbl>
      <w:tblPr>
        <w:tblStyle w:val="TableNoBorders"/>
        <w:tblW w:w="0" w:type="auto"/>
        <w:tblLook w:val="0620" w:firstRow="1" w:lastRow="0" w:firstColumn="0" w:lastColumn="0" w:noHBand="1" w:noVBand="1"/>
      </w:tblPr>
      <w:tblGrid>
        <w:gridCol w:w="4814"/>
        <w:gridCol w:w="4814"/>
      </w:tblGrid>
      <w:tr w:rsidR="00C00797" w:rsidRPr="00792B38" w14:paraId="72E78C94" w14:textId="77777777" w:rsidTr="00617D19">
        <w:tc>
          <w:tcPr>
            <w:tcW w:w="4814" w:type="dxa"/>
          </w:tcPr>
          <w:p w14:paraId="6ADFE292" w14:textId="77777777" w:rsidR="00C00797" w:rsidRPr="00792B38" w:rsidRDefault="00C00797" w:rsidP="00C00797"/>
        </w:tc>
        <w:tc>
          <w:tcPr>
            <w:tcW w:w="4814" w:type="dxa"/>
          </w:tcPr>
          <w:sdt>
            <w:sdtPr>
              <w:rPr>
                <w:noProof/>
                <w:lang w:eastAsia="en-AU"/>
              </w:rPr>
              <w:alias w:val="Client Logo"/>
              <w:tag w:val="Client Logo"/>
              <w:id w:val="-1040040459"/>
              <w:picture/>
            </w:sdtPr>
            <w:sdtEndPr/>
            <w:sdtContent>
              <w:p w14:paraId="2A03E7FD" w14:textId="41405D6F" w:rsidR="00C00797" w:rsidRPr="00792B38" w:rsidRDefault="00764AE8" w:rsidP="00C00797">
                <w:pPr>
                  <w:jc w:val="right"/>
                </w:pPr>
                <w:r w:rsidRPr="00877900">
                  <w:rPr>
                    <w:noProof/>
                    <w:lang w:eastAsia="en-AU"/>
                  </w:rPr>
                  <w:drawing>
                    <wp:inline distT="0" distB="0" distL="0" distR="0" wp14:anchorId="5D4D4C81" wp14:editId="797CE141">
                      <wp:extent cx="1363312" cy="1377538"/>
                      <wp:effectExtent l="0" t="0" r="8890" b="0"/>
                      <wp:docPr id="2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
                              <pic:cNvPicPr>
                                <a:picLocks noChangeAspect="1" noChangeArrowheads="1"/>
                              </pic:cNvPicPr>
                            </pic:nvPicPr>
                            <pic:blipFill>
                              <a:blip r:embed="rId15"/>
                              <a:stretch>
                                <a:fillRect/>
                              </a:stretch>
                            </pic:blipFill>
                            <pic:spPr bwMode="auto">
                              <a:xfrm>
                                <a:off x="0" y="0"/>
                                <a:ext cx="1381547" cy="1395963"/>
                              </a:xfrm>
                              <a:prstGeom prst="rect">
                                <a:avLst/>
                              </a:prstGeom>
                              <a:noFill/>
                              <a:ln>
                                <a:noFill/>
                              </a:ln>
                            </pic:spPr>
                          </pic:pic>
                        </a:graphicData>
                      </a:graphic>
                    </wp:inline>
                  </w:drawing>
                </w:r>
              </w:p>
            </w:sdtContent>
          </w:sdt>
        </w:tc>
      </w:tr>
    </w:tbl>
    <w:p w14:paraId="38090865" w14:textId="77777777" w:rsidR="00FA67A9" w:rsidRPr="00792B38" w:rsidRDefault="00FA67A9" w:rsidP="00FA67A9"/>
    <w:p w14:paraId="4D93E3A1" w14:textId="77777777" w:rsidR="00FA67A9" w:rsidRPr="00792B38" w:rsidRDefault="00523FDE" w:rsidP="00896678">
      <w:pPr>
        <w:pStyle w:val="CopyrightHeading"/>
      </w:pPr>
      <w:r w:rsidRPr="00792B38">
        <w:t>COPYRIGHT</w:t>
      </w:r>
    </w:p>
    <w:p w14:paraId="3D9088A1" w14:textId="2853A9CF" w:rsidR="00FA67A9" w:rsidRPr="00792B38" w:rsidRDefault="00FA67A9" w:rsidP="00896678">
      <w:pPr>
        <w:pStyle w:val="Disclaimer"/>
      </w:pPr>
      <w:r w:rsidRPr="00792B38">
        <w:t xml:space="preserve">Water Technology Pty Ltd has produced this document in accordance with instructions from </w:t>
      </w:r>
      <w:sdt>
        <w:sdtPr>
          <w:alias w:val="Client Name"/>
          <w:tag w:val="Client Name"/>
          <w:id w:val="1447503107"/>
          <w:placeholder>
            <w:docPart w:val="ACB7E8B1CAF6450D92F52D5A172D38E2"/>
          </w:placeholder>
          <w:dataBinding w:prefixMappings="xmlns:ns0='http://WaterTech.com.au' " w:xpath="/ns0:WaterTech[1]/ns0:ClientName[1]" w:storeItemID="{1214C560-496F-4E2F-AD2C-EBE50458B507}"/>
          <w:text/>
        </w:sdtPr>
        <w:sdtEndPr/>
        <w:sdtContent>
          <w:r w:rsidR="0063751E">
            <w:t>City of Albany</w:t>
          </w:r>
        </w:sdtContent>
      </w:sdt>
      <w:r w:rsidRPr="00792B38">
        <w:t xml:space="preserve"> for their use only. The concepts and information contained in this document are the copyright of Water Technology Pty Ltd. Use or copying of this document in whole or in part without written permission of Water Technology Pty Ltd constitutes an infringement of copyright. </w:t>
      </w:r>
    </w:p>
    <w:p w14:paraId="6CD66CF7" w14:textId="77777777" w:rsidR="00FA67A9" w:rsidRPr="00792B38" w:rsidRDefault="00FA67A9" w:rsidP="002D4837">
      <w:pPr>
        <w:pStyle w:val="Disclaimer"/>
        <w:spacing w:after="240"/>
      </w:pPr>
      <w:r w:rsidRPr="00792B38">
        <w:t>Water Technology Pty Ltd does not warrant this document is definitive nor free from error and does not accept liability for any loss caused, or arising from, reliance upon the information provided herein.</w:t>
      </w:r>
    </w:p>
    <w:tbl>
      <w:tblPr>
        <w:tblStyle w:val="TableNoBorders"/>
        <w:tblW w:w="5000" w:type="pct"/>
        <w:tblLook w:val="0620" w:firstRow="1" w:lastRow="0" w:firstColumn="0" w:lastColumn="0" w:noHBand="1" w:noVBand="1"/>
      </w:tblPr>
      <w:tblGrid>
        <w:gridCol w:w="6804"/>
        <w:gridCol w:w="2834"/>
      </w:tblGrid>
      <w:tr w:rsidR="00F450E5" w:rsidRPr="00877900" w14:paraId="42BF441C" w14:textId="77777777" w:rsidTr="00617D19">
        <w:tc>
          <w:tcPr>
            <w:tcW w:w="6804" w:type="dxa"/>
          </w:tcPr>
          <w:sdt>
            <w:sdtPr>
              <w:rPr>
                <w:sz w:val="18"/>
                <w:szCs w:val="18"/>
              </w:rPr>
              <w:alias w:val="Office"/>
              <w:tag w:val="Office"/>
              <w:id w:val="-616765716"/>
              <w:placeholder>
                <w:docPart w:val="A57E9B842CCA498481FA51DE8EA000D1"/>
              </w:placeholder>
              <w:docPartList>
                <w:docPartGallery w:val="Custom 1"/>
                <w:docPartCategory w:val="Office"/>
              </w:docPartList>
            </w:sdtPr>
            <w:sdtEndPr/>
            <w:sdtContent>
              <w:p w14:paraId="49A4ADE2" w14:textId="77777777" w:rsidR="00AD259F" w:rsidRPr="003C3AC4" w:rsidRDefault="00AD259F" w:rsidP="007414D6">
                <w:pPr>
                  <w:pStyle w:val="Address"/>
                  <w:tabs>
                    <w:tab w:val="left" w:pos="3402"/>
                  </w:tabs>
                  <w:rPr>
                    <w:sz w:val="18"/>
                  </w:rPr>
                </w:pPr>
                <w:r w:rsidRPr="00C660F3">
                  <w:rPr>
                    <w:sz w:val="18"/>
                  </w:rPr>
                  <w:t>Level 1, 21 Adelaide Street</w:t>
                </w:r>
              </w:p>
              <w:p w14:paraId="4DAF8E64" w14:textId="77777777" w:rsidR="00AD259F" w:rsidRPr="003C3AC4" w:rsidRDefault="00AD259F" w:rsidP="007414D6">
                <w:pPr>
                  <w:pStyle w:val="Address"/>
                  <w:tabs>
                    <w:tab w:val="left" w:pos="3402"/>
                  </w:tabs>
                  <w:rPr>
                    <w:sz w:val="18"/>
                  </w:rPr>
                </w:pPr>
                <w:r w:rsidRPr="00C660F3">
                  <w:rPr>
                    <w:sz w:val="18"/>
                  </w:rPr>
                  <w:t>Fremantle WA 6160</w:t>
                </w:r>
              </w:p>
              <w:p w14:paraId="62F6839E" w14:textId="77777777" w:rsidR="00AD259F" w:rsidRPr="003C3AC4" w:rsidRDefault="00AD259F" w:rsidP="007414D6">
                <w:pPr>
                  <w:pStyle w:val="Address"/>
                  <w:rPr>
                    <w:sz w:val="18"/>
                  </w:rPr>
                </w:pPr>
                <w:r w:rsidRPr="003C3AC4">
                  <w:rPr>
                    <w:sz w:val="18"/>
                  </w:rPr>
                  <w:t>Telephone</w:t>
                </w:r>
                <w:r w:rsidRPr="003C3AC4">
                  <w:rPr>
                    <w:sz w:val="18"/>
                  </w:rPr>
                  <w:tab/>
                </w:r>
                <w:r>
                  <w:rPr>
                    <w:sz w:val="18"/>
                  </w:rPr>
                  <w:t>(</w:t>
                </w:r>
                <w:r w:rsidRPr="003C3AC4">
                  <w:rPr>
                    <w:rFonts w:ascii="Arial" w:hAnsi="Arial" w:cs="Arial"/>
                    <w:sz w:val="18"/>
                  </w:rPr>
                  <w:t>08</w:t>
                </w:r>
                <w:r>
                  <w:rPr>
                    <w:rFonts w:ascii="Arial" w:hAnsi="Arial" w:cs="Arial"/>
                    <w:sz w:val="18"/>
                  </w:rPr>
                  <w:t>)</w:t>
                </w:r>
                <w:r w:rsidRPr="003C3AC4">
                  <w:rPr>
                    <w:rFonts w:ascii="Arial" w:hAnsi="Arial" w:cs="Arial"/>
                    <w:sz w:val="18"/>
                  </w:rPr>
                  <w:t xml:space="preserve"> 6555 0105</w:t>
                </w:r>
              </w:p>
              <w:p w14:paraId="262436D1" w14:textId="77777777" w:rsidR="00AD259F" w:rsidRPr="003C3AC4" w:rsidRDefault="00AD259F" w:rsidP="007414D6">
                <w:pPr>
                  <w:pStyle w:val="Address"/>
                  <w:rPr>
                    <w:sz w:val="18"/>
                  </w:rPr>
                </w:pPr>
                <w:r w:rsidRPr="003C3AC4">
                  <w:rPr>
                    <w:sz w:val="18"/>
                  </w:rPr>
                  <w:t>ACN</w:t>
                </w:r>
                <w:r w:rsidRPr="003C3AC4">
                  <w:rPr>
                    <w:sz w:val="18"/>
                  </w:rPr>
                  <w:tab/>
                  <w:t>093 377 283</w:t>
                </w:r>
              </w:p>
              <w:p w14:paraId="791F2FD2" w14:textId="5657B169" w:rsidR="00F450E5" w:rsidRPr="00877900" w:rsidRDefault="00AD259F" w:rsidP="00E23E85">
                <w:pPr>
                  <w:tabs>
                    <w:tab w:val="left" w:pos="1276"/>
                  </w:tabs>
                  <w:spacing w:before="80" w:after="80"/>
                  <w:rPr>
                    <w:sz w:val="18"/>
                  </w:rPr>
                </w:pPr>
                <w:r w:rsidRPr="003C3AC4">
                  <w:rPr>
                    <w:szCs w:val="18"/>
                  </w:rPr>
                  <w:t>ABN</w:t>
                </w:r>
                <w:r w:rsidRPr="003C3AC4">
                  <w:rPr>
                    <w:szCs w:val="18"/>
                  </w:rPr>
                  <w:tab/>
                  <w:t>60 093 377 283</w:t>
                </w:r>
              </w:p>
            </w:sdtContent>
          </w:sdt>
        </w:tc>
        <w:tc>
          <w:tcPr>
            <w:tcW w:w="2834" w:type="dxa"/>
          </w:tcPr>
          <w:p w14:paraId="3C7A814D" w14:textId="77777777" w:rsidR="00F450E5" w:rsidRPr="00877900" w:rsidRDefault="008D23D6" w:rsidP="00E23E85">
            <w:pPr>
              <w:spacing w:before="80" w:after="80"/>
              <w:jc w:val="right"/>
            </w:pPr>
            <w:r>
              <w:rPr>
                <w:noProof/>
              </w:rPr>
              <w:drawing>
                <wp:inline distT="0" distB="0" distL="0" distR="0" wp14:anchorId="308B005B" wp14:editId="5F996FEF">
                  <wp:extent cx="1711501" cy="1008000"/>
                  <wp:effectExtent l="0" t="0" r="317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stretch>
                            <a:fillRect/>
                          </a:stretch>
                        </pic:blipFill>
                        <pic:spPr>
                          <a:xfrm>
                            <a:off x="0" y="0"/>
                            <a:ext cx="1711501" cy="1008000"/>
                          </a:xfrm>
                          <a:prstGeom prst="rect">
                            <a:avLst/>
                          </a:prstGeom>
                        </pic:spPr>
                      </pic:pic>
                    </a:graphicData>
                  </a:graphic>
                </wp:inline>
              </w:drawing>
            </w:r>
          </w:p>
        </w:tc>
      </w:tr>
    </w:tbl>
    <w:p w14:paraId="3EA4B78B" w14:textId="77777777" w:rsidR="00AB5915" w:rsidRDefault="00AB5915" w:rsidP="00AB5915">
      <w:pPr>
        <w:pStyle w:val="BodyText"/>
      </w:pPr>
      <w:bookmarkStart w:id="0" w:name="Address"/>
      <w:bookmarkEnd w:id="0"/>
      <w:r>
        <w:br w:type="page"/>
      </w:r>
    </w:p>
    <w:p w14:paraId="50223360" w14:textId="77777777" w:rsidR="00AB5915" w:rsidRDefault="00AB5915" w:rsidP="00753B4F">
      <w:pPr>
        <w:pStyle w:val="TOCHeading"/>
        <w:pageBreakBefore/>
      </w:pPr>
      <w:r>
        <w:lastRenderedPageBreak/>
        <w:t>Acknowledgement of country</w:t>
      </w:r>
    </w:p>
    <w:p w14:paraId="4B19C896" w14:textId="77777777" w:rsidR="00AB5915" w:rsidRDefault="00AB5915" w:rsidP="00AB5915">
      <w:pPr>
        <w:pStyle w:val="BodyText"/>
      </w:pPr>
      <w:r>
        <w:t>The Board and employees of Water Technology acknowledge and respect the Aboriginal and Torres Strait Islander Peoples as the Traditional Custodians of Country throughout Australia. We specifically acknowledge the Traditional Custodians of the land on which our offices reside and where we undertake our work.</w:t>
      </w:r>
    </w:p>
    <w:p w14:paraId="3730ECBF" w14:textId="77777777" w:rsidR="00AB5915" w:rsidRDefault="00AB5915" w:rsidP="00AB5915">
      <w:pPr>
        <w:pStyle w:val="BodyText"/>
      </w:pPr>
      <w:r>
        <w:t xml:space="preserve">We respect the knowledge, skills and lived experiences of </w:t>
      </w:r>
      <w:r w:rsidR="00753B4F">
        <w:t xml:space="preserve">Aboriginal and </w:t>
      </w:r>
      <w:r>
        <w:t>Torres Strait Islander Peoples, who we continue to learn from and collaborate with. We also extend our respect to all First Nations Peoples, their cultures and to their Elders, past and present.</w:t>
      </w:r>
    </w:p>
    <w:p w14:paraId="6AF73573" w14:textId="27287189" w:rsidR="005C69F4" w:rsidRDefault="00AA1D83" w:rsidP="002A6E3A">
      <w:pPr>
        <w:pStyle w:val="FigureStyle"/>
      </w:pPr>
      <w:r>
        <w:rPr>
          <w:noProof/>
        </w:rPr>
        <w:drawing>
          <wp:inline distT="0" distB="0" distL="0" distR="0" wp14:anchorId="55986039" wp14:editId="794BC954">
            <wp:extent cx="6120130" cy="3963670"/>
            <wp:effectExtent l="0" t="0" r="0" b="0"/>
            <wp:docPr id="404125447" name="Picture 1" descr="An aerial view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25447" name="Picture 1" descr="An aerial view of a beach&#10;&#10;Description automatically generated"/>
                    <pic:cNvPicPr/>
                  </pic:nvPicPr>
                  <pic:blipFill>
                    <a:blip r:embed="rId17"/>
                    <a:stretch>
                      <a:fillRect/>
                    </a:stretch>
                  </pic:blipFill>
                  <pic:spPr>
                    <a:xfrm>
                      <a:off x="0" y="0"/>
                      <a:ext cx="6120130" cy="3963670"/>
                    </a:xfrm>
                    <a:prstGeom prst="rect">
                      <a:avLst/>
                    </a:prstGeom>
                  </pic:spPr>
                </pic:pic>
              </a:graphicData>
            </a:graphic>
          </wp:inline>
        </w:drawing>
      </w:r>
    </w:p>
    <w:p w14:paraId="13C19F74" w14:textId="7045DA4A" w:rsidR="00F450E5" w:rsidRPr="00335EAD" w:rsidRDefault="00030889" w:rsidP="00335EAD">
      <w:pPr>
        <w:jc w:val="center"/>
        <w:rPr>
          <w:b/>
          <w:bCs/>
          <w:lang w:eastAsia="en-AU"/>
        </w:rPr>
      </w:pPr>
      <w:r w:rsidRPr="00335EAD">
        <w:rPr>
          <w:b/>
          <w:bCs/>
          <w:lang w:eastAsia="en-AU"/>
        </w:rPr>
        <w:t xml:space="preserve">Shallow waters of Princess Royal Harbour. Source: Google Maps </w:t>
      </w:r>
      <w:r w:rsidR="00F450E5" w:rsidRPr="00335EAD">
        <w:rPr>
          <w:b/>
          <w:bCs/>
          <w:lang w:eastAsia="en-AU"/>
        </w:rPr>
        <w:br w:type="page"/>
      </w:r>
    </w:p>
    <w:p w14:paraId="259EA04F" w14:textId="77777777" w:rsidR="00AB7E9F" w:rsidRPr="00792B38" w:rsidRDefault="00AB7E9F" w:rsidP="00776D1E">
      <w:pPr>
        <w:pStyle w:val="TOCHeading"/>
      </w:pPr>
      <w:r w:rsidRPr="00792B38">
        <w:lastRenderedPageBreak/>
        <w:t>Executive Summary</w:t>
      </w:r>
    </w:p>
    <w:p w14:paraId="292D42F7" w14:textId="77777777" w:rsidR="00481BA3" w:rsidRDefault="00481BA3" w:rsidP="00481BA3">
      <w:pPr>
        <w:pStyle w:val="BodyText"/>
      </w:pPr>
      <w:r>
        <w:t xml:space="preserve">The Western Australian Government Western Australian Planning Commission’s “State Planning Policy No. 2.6: State Coastal Planning Policy” (WAPC, 2013, herein referred to as “SPP2.6”) addresses climate change, sea level rise, increased coastal inundation and coastal erosion. SPP2.6 recommends that management authorities develop a Coastal Hazard Risk Management and Adaptation Plan (CHRMAP) for land use or development vulnerable to coastal hazards. Specific CHRMAP Guidelines have been developed to assist this process (WAPC, 2019). </w:t>
      </w:r>
    </w:p>
    <w:p w14:paraId="486ED6AC" w14:textId="54D8DF3B" w:rsidR="00481BA3" w:rsidRDefault="00481BA3" w:rsidP="00481BA3">
      <w:pPr>
        <w:pStyle w:val="BodyText"/>
      </w:pPr>
      <w:r>
        <w:t xml:space="preserve">The Princess Royal Harbour </w:t>
      </w:r>
      <w:r w:rsidR="009A2E8B">
        <w:t xml:space="preserve">(PRH) </w:t>
      </w:r>
      <w:r>
        <w:t>region has been identified as potentially exposed to inundation hazard. Additionally, Little Grove (located within Princess Royal Harbour) is on a “watchlist” for coastal erosion vulnerability (Seashore Engineering, 2019). This coastal hazard risk is a key trigger for the requirement of this CHRMAP. Therefore, the study aim</w:t>
      </w:r>
      <w:r w:rsidR="009A2E8B">
        <w:t>ed</w:t>
      </w:r>
      <w:r>
        <w:t xml:space="preserve"> to investigate and plan for coastal hazards likely to affect Princess Royal Harbour. </w:t>
      </w:r>
      <w:r>
        <w:fldChar w:fldCharType="begin"/>
      </w:r>
      <w:r>
        <w:instrText xml:space="preserve"> REF _Ref125733967 \h </w:instrText>
      </w:r>
      <w:r>
        <w:fldChar w:fldCharType="separate"/>
      </w:r>
      <w:r>
        <w:t>Figure </w:t>
      </w:r>
      <w:r>
        <w:rPr>
          <w:noProof/>
        </w:rPr>
        <w:t>1</w:t>
      </w:r>
      <w:r>
        <w:noBreakHyphen/>
      </w:r>
      <w:r>
        <w:rPr>
          <w:noProof/>
        </w:rPr>
        <w:t>1</w:t>
      </w:r>
      <w:r>
        <w:fldChar w:fldCharType="end"/>
      </w:r>
      <w:r>
        <w:t xml:space="preserve"> shows the study area. The study area is a semi-enclosed natural harbour in Albany on the south coast of Western Australia. The Harbour is approximately 4 km wide and 8 km long, with an approximate area of 28 km</w:t>
      </w:r>
      <w:r w:rsidRPr="53267534">
        <w:rPr>
          <w:vertAlign w:val="superscript"/>
        </w:rPr>
        <w:t>2</w:t>
      </w:r>
      <w:r>
        <w:t xml:space="preserve"> within the City of Albany. The Harbour contains subtidal seagrass meadows and the working Port of Albany. The Port of Albany is a significant exporter for the state. </w:t>
      </w:r>
    </w:p>
    <w:p w14:paraId="5F2E4F43" w14:textId="1E37CA0A" w:rsidR="00481BA3" w:rsidRDefault="00481BA3" w:rsidP="00481BA3">
      <w:pPr>
        <w:pStyle w:val="BodyText"/>
      </w:pPr>
      <w:r>
        <w:t>This CHRMAP increases knowledge and understanding of coastal hazard risks and identifies risk management and adaptation measures for implementation. The outcomes will be used to inform local government policies, strategies and plans, including (but not limited to), planning strategies, community strategic plans, drainage strategies, asset management plans, emergency management plans, and foreshore management plans. The project adhere</w:t>
      </w:r>
      <w:r w:rsidR="009A2E8B">
        <w:t>d</w:t>
      </w:r>
      <w:r>
        <w:t xml:space="preserve"> to the WAPC (2019) guidelines with scope and deliverables consistent with their objectives and SPP2.6. In addition, the project </w:t>
      </w:r>
      <w:r w:rsidR="009A2E8B">
        <w:t xml:space="preserve">has </w:t>
      </w:r>
      <w:r>
        <w:t>identif</w:t>
      </w:r>
      <w:r w:rsidR="009A2E8B">
        <w:t>ied</w:t>
      </w:r>
      <w:r>
        <w:t xml:space="preserve"> the strategic direction for coastal adaptation scenarios from the present to 2122 (100-year management time frame) and determine</w:t>
      </w:r>
      <w:r w:rsidR="009A2E8B">
        <w:t>d</w:t>
      </w:r>
      <w:r>
        <w:t xml:space="preserve"> an implementation </w:t>
      </w:r>
      <w:r w:rsidRPr="009A2E8B">
        <w:t xml:space="preserve">plan </w:t>
      </w:r>
      <w:r w:rsidR="009A2E8B" w:rsidRPr="009A2E8B">
        <w:t xml:space="preserve">describing risk management measures to be undertaken </w:t>
      </w:r>
      <w:r w:rsidRPr="009A2E8B">
        <w:t xml:space="preserve">to achieve this direction. Overall, this CHRMAP </w:t>
      </w:r>
      <w:r w:rsidR="009A2E8B" w:rsidRPr="009A2E8B">
        <w:t>has</w:t>
      </w:r>
      <w:r w:rsidR="009A2E8B">
        <w:t xml:space="preserve"> </w:t>
      </w:r>
      <w:r>
        <w:t>develop</w:t>
      </w:r>
      <w:r w:rsidR="009A2E8B">
        <w:t>ed</w:t>
      </w:r>
      <w:r>
        <w:t xml:space="preserve"> flexible adaptation pathway</w:t>
      </w:r>
      <w:r w:rsidR="009A2E8B">
        <w:t>s</w:t>
      </w:r>
      <w:r>
        <w:t xml:space="preserve"> for the region and </w:t>
      </w:r>
      <w:r w:rsidR="009A2E8B">
        <w:t xml:space="preserve">will </w:t>
      </w:r>
      <w:r>
        <w:t>serve as a key reference for management, planning and policymaking for the short-term (0-25 years), medium-term (25-50 years), and long-term (100 years).</w:t>
      </w:r>
    </w:p>
    <w:p w14:paraId="2309C49F" w14:textId="77777777" w:rsidR="009A2E8B" w:rsidRPr="00491743" w:rsidRDefault="009A2E8B" w:rsidP="009A2E8B">
      <w:pPr>
        <w:pStyle w:val="BodyText"/>
      </w:pPr>
      <w:r>
        <w:t xml:space="preserve">The PRH </w:t>
      </w:r>
      <w:r w:rsidRPr="00491743">
        <w:t xml:space="preserve">shoreline </w:t>
      </w:r>
      <w:r>
        <w:t xml:space="preserve">was </w:t>
      </w:r>
      <w:r w:rsidRPr="00491743">
        <w:t xml:space="preserve">divided into </w:t>
      </w:r>
      <w:r w:rsidRPr="0004471D">
        <w:t>five management units</w:t>
      </w:r>
      <w:r w:rsidRPr="00491743">
        <w:t>:</w:t>
      </w:r>
    </w:p>
    <w:p w14:paraId="48C8CC05" w14:textId="77777777" w:rsidR="009A2E8B" w:rsidRPr="00491743" w:rsidRDefault="009A2E8B" w:rsidP="00B32A91">
      <w:pPr>
        <w:pStyle w:val="ListBullet0"/>
        <w:numPr>
          <w:ilvl w:val="0"/>
          <w:numId w:val="17"/>
        </w:numPr>
      </w:pPr>
      <w:r w:rsidRPr="00491743">
        <w:t>MU</w:t>
      </w:r>
      <w:r>
        <w:t>1</w:t>
      </w:r>
      <w:r w:rsidRPr="00491743">
        <w:t xml:space="preserve"> - </w:t>
      </w:r>
      <w:r w:rsidRPr="0004471D">
        <w:t>Point King to Melville Point</w:t>
      </w:r>
    </w:p>
    <w:p w14:paraId="5A47C7DD" w14:textId="77777777" w:rsidR="009A2E8B" w:rsidRPr="00491743" w:rsidRDefault="009A2E8B" w:rsidP="00B32A91">
      <w:pPr>
        <w:pStyle w:val="ListBullet0"/>
        <w:numPr>
          <w:ilvl w:val="0"/>
          <w:numId w:val="17"/>
        </w:numPr>
      </w:pPr>
      <w:r w:rsidRPr="00491743">
        <w:t>MU</w:t>
      </w:r>
      <w:r>
        <w:t>2</w:t>
      </w:r>
      <w:r w:rsidRPr="00491743">
        <w:t xml:space="preserve"> - </w:t>
      </w:r>
      <w:r w:rsidRPr="0004471D">
        <w:t>Melville Point to Rushy Point</w:t>
      </w:r>
    </w:p>
    <w:p w14:paraId="0ECB4048" w14:textId="77777777" w:rsidR="009A2E8B" w:rsidRPr="0034487D" w:rsidRDefault="009A2E8B" w:rsidP="00B32A91">
      <w:pPr>
        <w:pStyle w:val="ListBullet0"/>
        <w:numPr>
          <w:ilvl w:val="0"/>
          <w:numId w:val="17"/>
        </w:numPr>
      </w:pPr>
      <w:r w:rsidRPr="0034487D">
        <w:t xml:space="preserve">MU3 - </w:t>
      </w:r>
      <w:r>
        <w:t>Rushy Point to Limekilns Point</w:t>
      </w:r>
    </w:p>
    <w:p w14:paraId="266DB937" w14:textId="77777777" w:rsidR="009A2E8B" w:rsidRPr="00491743" w:rsidRDefault="009A2E8B" w:rsidP="00B32A91">
      <w:pPr>
        <w:pStyle w:val="ListBullet0"/>
        <w:numPr>
          <w:ilvl w:val="0"/>
          <w:numId w:val="17"/>
        </w:numPr>
      </w:pPr>
      <w:r w:rsidRPr="00491743">
        <w:t>MU</w:t>
      </w:r>
      <w:r>
        <w:t>4</w:t>
      </w:r>
      <w:r w:rsidRPr="00491743">
        <w:t xml:space="preserve"> - </w:t>
      </w:r>
      <w:r>
        <w:t>Limekilns Point to Geake Point</w:t>
      </w:r>
    </w:p>
    <w:p w14:paraId="5A672927" w14:textId="77777777" w:rsidR="009A2E8B" w:rsidRPr="00491743" w:rsidRDefault="009A2E8B" w:rsidP="00B32A91">
      <w:pPr>
        <w:pStyle w:val="ListBullet0"/>
        <w:numPr>
          <w:ilvl w:val="0"/>
          <w:numId w:val="17"/>
        </w:numPr>
      </w:pPr>
      <w:r w:rsidRPr="00491743">
        <w:t>MU</w:t>
      </w:r>
      <w:r>
        <w:t>5</w:t>
      </w:r>
      <w:r w:rsidRPr="00491743">
        <w:t xml:space="preserve"> – </w:t>
      </w:r>
      <w:r>
        <w:t xml:space="preserve">Geake Point to </w:t>
      </w:r>
      <w:r w:rsidRPr="009B0F34">
        <w:t>Point Possession / Uredale Point</w:t>
      </w:r>
    </w:p>
    <w:p w14:paraId="29DD5789" w14:textId="2E55FB54" w:rsidR="00481BA3" w:rsidRPr="00A37448" w:rsidRDefault="00481BA3" w:rsidP="00481BA3">
      <w:pPr>
        <w:pStyle w:val="BodyText"/>
      </w:pPr>
      <w:r w:rsidRPr="00A37448">
        <w:t xml:space="preserve">A Coastal Hazard Assessment identified the coastal hazards in the study area that need to be considered in the CHRMAP. Hazard maps were produced defining the erosion and inundation extents for </w:t>
      </w:r>
      <w:r w:rsidR="00A37448" w:rsidRPr="00A37448">
        <w:t>present day, 2047, 2072 and 2122</w:t>
      </w:r>
      <w:r w:rsidRPr="00A37448">
        <w:t xml:space="preserve">. </w:t>
      </w:r>
      <w:r w:rsidRPr="00A37448">
        <w:rPr>
          <w:bCs/>
        </w:rPr>
        <w:t>It is acknowledged that the hazard identification component of the present study was undertaken to provide a broad understanding of exposure that can support government planning at a regional level.</w:t>
      </w:r>
      <w:r w:rsidRPr="00A37448">
        <w:t xml:space="preserve"> </w:t>
      </w:r>
      <w:r w:rsidRPr="00A37448">
        <w:rPr>
          <w:bCs/>
        </w:rPr>
        <w:t>The hazard identification may be superseded by future site-specific studies. Results derived from this study should not be over-interpreted at a micro-scale due to the assumptions applied and the limitations in resolution</w:t>
      </w:r>
      <w:r w:rsidRPr="00A37448">
        <w:t xml:space="preserve">. </w:t>
      </w:r>
    </w:p>
    <w:p w14:paraId="493E4A27" w14:textId="21CE6A2C" w:rsidR="00884425" w:rsidRPr="00A37448" w:rsidRDefault="00481BA3" w:rsidP="00481BA3">
      <w:pPr>
        <w:pStyle w:val="BodyText"/>
      </w:pPr>
      <w:r w:rsidRPr="00A37448">
        <w:t xml:space="preserve">Following the Hazard Assessment, a Coastal Assets </w:t>
      </w:r>
      <w:r w:rsidR="00A37448" w:rsidRPr="00A37448">
        <w:t xml:space="preserve">and Community Values </w:t>
      </w:r>
      <w:r w:rsidRPr="00A37448">
        <w:t xml:space="preserve">Identification investigation was undertaken to identify the assets within the coastal hazard zone. All the assets in the coastal hazard zone were identified and classified into </w:t>
      </w:r>
      <w:r w:rsidR="00A37448" w:rsidRPr="00A37448">
        <w:t>seven</w:t>
      </w:r>
      <w:r w:rsidRPr="00A37448">
        <w:t xml:space="preserve"> categories as listed below. The quantity of each asset category by Management Unit, category and planning horizon are presented for each hazard. </w:t>
      </w:r>
    </w:p>
    <w:p w14:paraId="02A52BBC" w14:textId="77777777" w:rsidR="00A37448" w:rsidRDefault="00A37448" w:rsidP="00B32A91">
      <w:pPr>
        <w:pStyle w:val="ListBullet0"/>
        <w:numPr>
          <w:ilvl w:val="0"/>
          <w:numId w:val="17"/>
        </w:numPr>
      </w:pPr>
      <w:r>
        <w:t xml:space="preserve">Residential </w:t>
      </w:r>
    </w:p>
    <w:p w14:paraId="0EE2D8F9" w14:textId="77777777" w:rsidR="00A37448" w:rsidRDefault="00A37448" w:rsidP="00B32A91">
      <w:pPr>
        <w:pStyle w:val="ListBullet0"/>
        <w:numPr>
          <w:ilvl w:val="0"/>
          <w:numId w:val="17"/>
        </w:numPr>
      </w:pPr>
      <w:r>
        <w:t>Commercial</w:t>
      </w:r>
    </w:p>
    <w:p w14:paraId="28CDD0D8" w14:textId="77777777" w:rsidR="00A37448" w:rsidRDefault="00A37448" w:rsidP="00B32A91">
      <w:pPr>
        <w:pStyle w:val="ListBullet0"/>
        <w:numPr>
          <w:ilvl w:val="0"/>
          <w:numId w:val="17"/>
        </w:numPr>
      </w:pPr>
      <w:r>
        <w:lastRenderedPageBreak/>
        <w:t>Developed Foreshore reserve</w:t>
      </w:r>
    </w:p>
    <w:p w14:paraId="516BCC7A" w14:textId="77777777" w:rsidR="00A37448" w:rsidRDefault="00A37448" w:rsidP="00B32A91">
      <w:pPr>
        <w:pStyle w:val="ListBullet0"/>
        <w:numPr>
          <w:ilvl w:val="0"/>
          <w:numId w:val="17"/>
        </w:numPr>
      </w:pPr>
      <w:r>
        <w:t xml:space="preserve">Public &amp; Community </w:t>
      </w:r>
    </w:p>
    <w:p w14:paraId="20D6CEB3" w14:textId="77777777" w:rsidR="00A37448" w:rsidRDefault="00A37448" w:rsidP="00B32A91">
      <w:pPr>
        <w:pStyle w:val="ListBullet0"/>
        <w:numPr>
          <w:ilvl w:val="0"/>
          <w:numId w:val="17"/>
        </w:numPr>
      </w:pPr>
      <w:r>
        <w:t>Roads</w:t>
      </w:r>
    </w:p>
    <w:p w14:paraId="68038830" w14:textId="77777777" w:rsidR="00A37448" w:rsidRDefault="00A37448" w:rsidP="00B32A91">
      <w:pPr>
        <w:pStyle w:val="ListBullet0"/>
        <w:numPr>
          <w:ilvl w:val="0"/>
          <w:numId w:val="17"/>
        </w:numPr>
      </w:pPr>
      <w:r>
        <w:t>Environmental</w:t>
      </w:r>
    </w:p>
    <w:p w14:paraId="744BDC50" w14:textId="77777777" w:rsidR="00A37448" w:rsidRDefault="00A37448" w:rsidP="00B32A91">
      <w:pPr>
        <w:pStyle w:val="ListBullet0"/>
        <w:numPr>
          <w:ilvl w:val="0"/>
          <w:numId w:val="17"/>
        </w:numPr>
      </w:pPr>
      <w:r>
        <w:t>Heritage</w:t>
      </w:r>
    </w:p>
    <w:p w14:paraId="7FB1FDF1" w14:textId="77777777" w:rsidR="00481BA3" w:rsidRPr="00A37448" w:rsidRDefault="00481BA3" w:rsidP="00481BA3">
      <w:pPr>
        <w:pStyle w:val="BodyText"/>
      </w:pPr>
      <w:r w:rsidRPr="00A37448">
        <w:t xml:space="preserve">Community and stakeholder involvement is a critical component of the CHRMAP process, as it defines what and how much value is placed on assets within the study area. As such, the project contained a high level of community and stakeholder engagement. Engagement outcomes have informed the adaptation planning process and ensured all needs are considered. This provides ownership of the CHRMAP with those that it affects, and acceptance of its outcomes. A Community Values assessment using various engagement methods was used to identify key values and concerns for the study area. </w:t>
      </w:r>
    </w:p>
    <w:p w14:paraId="253367FA" w14:textId="77777777" w:rsidR="00A37448" w:rsidRDefault="00A37448" w:rsidP="00A37448">
      <w:pPr>
        <w:pStyle w:val="BodyText"/>
      </w:pPr>
      <w:r>
        <w:t>Key values identified by participants across the whole study area as follows:</w:t>
      </w:r>
    </w:p>
    <w:p w14:paraId="4028A5C8" w14:textId="77777777" w:rsidR="00A37448" w:rsidRDefault="00A37448" w:rsidP="00B32A91">
      <w:pPr>
        <w:pStyle w:val="ListBullet0"/>
        <w:numPr>
          <w:ilvl w:val="0"/>
          <w:numId w:val="17"/>
        </w:numPr>
      </w:pPr>
      <w:r>
        <w:t xml:space="preserve">Beaches and foreshore areas for activities like walking, cycling, visiting nearby venues, fishing, swimming, exercise, views, residing nearby </w:t>
      </w:r>
    </w:p>
    <w:p w14:paraId="726CB9D4" w14:textId="77777777" w:rsidR="00A37448" w:rsidRDefault="00A37448" w:rsidP="00B32A91">
      <w:pPr>
        <w:pStyle w:val="ListBullet0"/>
        <w:numPr>
          <w:ilvl w:val="0"/>
          <w:numId w:val="17"/>
        </w:numPr>
      </w:pPr>
      <w:r>
        <w:t>Health of environmental areas for their flora and fauna diversity which participants could appreciate – by birdwatching for example</w:t>
      </w:r>
    </w:p>
    <w:p w14:paraId="5021E17E" w14:textId="77777777" w:rsidR="00A37448" w:rsidRPr="003C3335" w:rsidRDefault="00A37448" w:rsidP="00B32A91">
      <w:pPr>
        <w:pStyle w:val="ListBullet0"/>
        <w:numPr>
          <w:ilvl w:val="0"/>
          <w:numId w:val="17"/>
        </w:numPr>
      </w:pPr>
      <w:r w:rsidRPr="0034487D">
        <w:t>Coastal recreation</w:t>
      </w:r>
    </w:p>
    <w:p w14:paraId="3ED472C5" w14:textId="77777777" w:rsidR="00A37448" w:rsidRPr="003C3335" w:rsidRDefault="00A37448" w:rsidP="00B32A91">
      <w:pPr>
        <w:pStyle w:val="ListBullet0"/>
        <w:numPr>
          <w:ilvl w:val="0"/>
          <w:numId w:val="17"/>
        </w:numPr>
      </w:pPr>
      <w:r w:rsidRPr="0034487D">
        <w:t xml:space="preserve">Tourism </w:t>
      </w:r>
    </w:p>
    <w:p w14:paraId="7743BACB" w14:textId="77777777" w:rsidR="00A37448" w:rsidRPr="003C3335" w:rsidRDefault="00A37448" w:rsidP="00B32A91">
      <w:pPr>
        <w:pStyle w:val="ListBullet0"/>
        <w:numPr>
          <w:ilvl w:val="0"/>
          <w:numId w:val="17"/>
        </w:numPr>
      </w:pPr>
      <w:r w:rsidRPr="0034487D">
        <w:t>Cultural significant (Aboriginal and European Heritage)</w:t>
      </w:r>
    </w:p>
    <w:p w14:paraId="55EDC2EA" w14:textId="715A8326" w:rsidR="00A37448" w:rsidRDefault="00481BA3" w:rsidP="00A37448">
      <w:pPr>
        <w:pStyle w:val="BodyText"/>
      </w:pPr>
      <w:r w:rsidRPr="00A37448">
        <w:t xml:space="preserve">The values collated from the engagement to date have been used to generate the success criteria </w:t>
      </w:r>
      <w:r w:rsidR="00A37448" w:rsidRPr="00A37448">
        <w:t xml:space="preserve">below </w:t>
      </w:r>
      <w:r w:rsidRPr="00A37448">
        <w:t>for the vulnerability and risk assessment component of the CHRMAP</w:t>
      </w:r>
      <w:r w:rsidR="00A37448" w:rsidRPr="00A37448">
        <w:t>:</w:t>
      </w:r>
    </w:p>
    <w:tbl>
      <w:tblPr>
        <w:tblStyle w:val="GreenTable"/>
        <w:tblW w:w="5000" w:type="pct"/>
        <w:tblLayout w:type="fixed"/>
        <w:tblLook w:val="0620" w:firstRow="1" w:lastRow="0" w:firstColumn="0" w:lastColumn="0" w:noHBand="1" w:noVBand="1"/>
      </w:tblPr>
      <w:tblGrid>
        <w:gridCol w:w="9628"/>
      </w:tblGrid>
      <w:tr w:rsidR="00A37448" w14:paraId="5716008B" w14:textId="77777777" w:rsidTr="001355DB">
        <w:trPr>
          <w:cnfStyle w:val="100000000000" w:firstRow="1" w:lastRow="0" w:firstColumn="0" w:lastColumn="0" w:oddVBand="0" w:evenVBand="0" w:oddHBand="0" w:evenHBand="0" w:firstRowFirstColumn="0" w:firstRowLastColumn="0" w:lastRowFirstColumn="0" w:lastRowLastColumn="0"/>
        </w:trPr>
        <w:tc>
          <w:tcPr>
            <w:tcW w:w="9628" w:type="dxa"/>
          </w:tcPr>
          <w:p w14:paraId="1D5B6A9E" w14:textId="77777777" w:rsidR="00A37448" w:rsidRPr="004E1C1C" w:rsidRDefault="00A37448" w:rsidP="001355DB">
            <w:pPr>
              <w:pStyle w:val="TableBullet"/>
              <w:numPr>
                <w:ilvl w:val="0"/>
                <w:numId w:val="16"/>
              </w:numPr>
            </w:pPr>
            <w:r w:rsidRPr="00D215EB">
              <w:rPr>
                <w:bCs/>
              </w:rPr>
              <w:t xml:space="preserve">Ensure future land use and development does not accelerate coastal erosion or inundation risks or have a detrimental impact on the functions of public reserves. </w:t>
            </w:r>
          </w:p>
        </w:tc>
      </w:tr>
      <w:tr w:rsidR="00A37448" w:rsidRPr="003C3335" w14:paraId="188EDB74" w14:textId="77777777" w:rsidTr="001355DB">
        <w:tc>
          <w:tcPr>
            <w:tcW w:w="9628" w:type="dxa"/>
            <w:shd w:val="clear" w:color="auto" w:fill="6EB444"/>
          </w:tcPr>
          <w:p w14:paraId="021FC9D7" w14:textId="77777777" w:rsidR="00A37448" w:rsidRPr="003C3335" w:rsidRDefault="00A37448" w:rsidP="001355DB">
            <w:pPr>
              <w:pStyle w:val="TableBullet"/>
              <w:numPr>
                <w:ilvl w:val="0"/>
                <w:numId w:val="16"/>
              </w:numPr>
              <w:rPr>
                <w:bCs/>
                <w:color w:val="FFFFFF" w:themeColor="background1"/>
              </w:rPr>
            </w:pPr>
            <w:r w:rsidRPr="003C3335">
              <w:rPr>
                <w:bCs/>
                <w:color w:val="FFFFFF" w:themeColor="background1"/>
              </w:rPr>
              <w:t>Manage land at risk of coastal erosion and inundation to avoid inappropriate land use and development.</w:t>
            </w:r>
          </w:p>
        </w:tc>
      </w:tr>
      <w:tr w:rsidR="00A37448" w:rsidRPr="003C3335" w14:paraId="1447E4B3" w14:textId="77777777" w:rsidTr="001355DB">
        <w:tc>
          <w:tcPr>
            <w:tcW w:w="9628" w:type="dxa"/>
            <w:shd w:val="clear" w:color="auto" w:fill="6EB444"/>
          </w:tcPr>
          <w:p w14:paraId="3B85BA46" w14:textId="77777777" w:rsidR="00A37448" w:rsidRPr="003C3335" w:rsidRDefault="00A37448" w:rsidP="001355DB">
            <w:pPr>
              <w:pStyle w:val="TableBullet"/>
              <w:numPr>
                <w:ilvl w:val="0"/>
                <w:numId w:val="16"/>
              </w:numPr>
              <w:rPr>
                <w:bCs/>
                <w:color w:val="FFFFFF" w:themeColor="background1"/>
              </w:rPr>
            </w:pPr>
            <w:r w:rsidRPr="003C3335">
              <w:rPr>
                <w:bCs/>
                <w:color w:val="FFFFFF" w:themeColor="background1"/>
              </w:rPr>
              <w:t>Maintain the harbour for environmental health, including flora and fauna habitat.</w:t>
            </w:r>
          </w:p>
        </w:tc>
      </w:tr>
      <w:tr w:rsidR="00A37448" w:rsidRPr="003C3335" w14:paraId="763669B7" w14:textId="77777777" w:rsidTr="001355DB">
        <w:tc>
          <w:tcPr>
            <w:tcW w:w="9628" w:type="dxa"/>
            <w:shd w:val="clear" w:color="auto" w:fill="6EB444"/>
          </w:tcPr>
          <w:p w14:paraId="251D75A1" w14:textId="77777777" w:rsidR="00A37448" w:rsidRPr="003C3335" w:rsidRDefault="00A37448" w:rsidP="001355DB">
            <w:pPr>
              <w:pStyle w:val="TableBullet"/>
              <w:numPr>
                <w:ilvl w:val="0"/>
                <w:numId w:val="16"/>
              </w:numPr>
              <w:rPr>
                <w:bCs/>
                <w:color w:val="FFFFFF" w:themeColor="background1"/>
              </w:rPr>
            </w:pPr>
            <w:r w:rsidRPr="003C3335">
              <w:rPr>
                <w:bCs/>
                <w:color w:val="FFFFFF" w:themeColor="background1"/>
              </w:rPr>
              <w:t xml:space="preserve">Conserve, enhance and maintain the natural environment and character of the study area </w:t>
            </w:r>
          </w:p>
        </w:tc>
      </w:tr>
      <w:tr w:rsidR="00A37448" w:rsidRPr="003C3335" w14:paraId="4CB13198" w14:textId="77777777" w:rsidTr="001355DB">
        <w:tc>
          <w:tcPr>
            <w:tcW w:w="9628" w:type="dxa"/>
            <w:shd w:val="clear" w:color="auto" w:fill="6EB444"/>
          </w:tcPr>
          <w:p w14:paraId="20829595" w14:textId="77777777" w:rsidR="00A37448" w:rsidRPr="003C3335" w:rsidRDefault="00A37448" w:rsidP="001355DB">
            <w:pPr>
              <w:pStyle w:val="TableBullet"/>
              <w:numPr>
                <w:ilvl w:val="0"/>
                <w:numId w:val="16"/>
              </w:numPr>
              <w:rPr>
                <w:bCs/>
                <w:color w:val="FFFFFF" w:themeColor="background1"/>
              </w:rPr>
            </w:pPr>
            <w:r w:rsidRPr="003C3335">
              <w:rPr>
                <w:bCs/>
                <w:color w:val="FFFFFF" w:themeColor="background1"/>
              </w:rPr>
              <w:t xml:space="preserve">Sustain the ability for the current and future generation to recreate along the harbour. </w:t>
            </w:r>
          </w:p>
        </w:tc>
      </w:tr>
      <w:tr w:rsidR="00A37448" w:rsidRPr="003C3335" w14:paraId="5B8E8074" w14:textId="77777777" w:rsidTr="001355DB">
        <w:tc>
          <w:tcPr>
            <w:tcW w:w="9628" w:type="dxa"/>
            <w:shd w:val="clear" w:color="auto" w:fill="6EB444"/>
          </w:tcPr>
          <w:p w14:paraId="44C88476" w14:textId="77777777" w:rsidR="00A37448" w:rsidRPr="003C3335" w:rsidRDefault="00A37448" w:rsidP="001355DB">
            <w:pPr>
              <w:pStyle w:val="TableBullet"/>
              <w:numPr>
                <w:ilvl w:val="0"/>
                <w:numId w:val="16"/>
              </w:numPr>
              <w:rPr>
                <w:bCs/>
                <w:color w:val="FFFFFF" w:themeColor="background1"/>
              </w:rPr>
            </w:pPr>
            <w:r w:rsidRPr="003C3335">
              <w:rPr>
                <w:bCs/>
                <w:color w:val="FFFFFF" w:themeColor="background1"/>
              </w:rPr>
              <w:t>Protect and or manage appropriately the provision of recreational assets in the coastal zone</w:t>
            </w:r>
          </w:p>
        </w:tc>
      </w:tr>
    </w:tbl>
    <w:p w14:paraId="70FAF92E" w14:textId="77777777" w:rsidR="00A37448" w:rsidRDefault="00481BA3" w:rsidP="00481BA3">
      <w:pPr>
        <w:pStyle w:val="BodyText"/>
      </w:pPr>
      <w:r w:rsidRPr="00A37448">
        <w:t xml:space="preserve">A Vulnerability Analysis, which constitutes the second stage of the risk identification process, was undertaken to develop likelihood, consequence, level of risk, adaptive capacity and vulnerability ratings for the </w:t>
      </w:r>
      <w:r w:rsidR="00A37448" w:rsidRPr="00A37448">
        <w:t>seven</w:t>
      </w:r>
      <w:r w:rsidRPr="00A37448">
        <w:t xml:space="preserve"> asset categories.</w:t>
      </w:r>
      <w:r w:rsidR="00A37448">
        <w:t xml:space="preserve"> </w:t>
      </w:r>
      <w:r w:rsidRPr="00A37448">
        <w:t xml:space="preserve">All identified at-risk assets within the </w:t>
      </w:r>
      <w:r w:rsidR="00A37448" w:rsidRPr="00A37448">
        <w:t>five</w:t>
      </w:r>
      <w:r w:rsidRPr="00A37448">
        <w:t xml:space="preserve"> management units are presented for </w:t>
      </w:r>
      <w:r w:rsidR="00A37448" w:rsidRPr="00A37448">
        <w:t xml:space="preserve">each of </w:t>
      </w:r>
      <w:r w:rsidRPr="00A37448">
        <w:t>the planning horizons</w:t>
      </w:r>
      <w:r w:rsidR="00A37448" w:rsidRPr="00A37448">
        <w:t xml:space="preserve">, </w:t>
      </w:r>
      <w:r w:rsidRPr="00A37448">
        <w:t xml:space="preserve">for each hazard. </w:t>
      </w:r>
    </w:p>
    <w:p w14:paraId="3D5E6539" w14:textId="025A0789" w:rsidR="00A37448" w:rsidRDefault="00481BA3" w:rsidP="00F01BCC">
      <w:pPr>
        <w:pStyle w:val="BodyText"/>
      </w:pPr>
      <w:r w:rsidRPr="00A37448">
        <w:t>Extreme vulnerability has been identified from the present day onwards</w:t>
      </w:r>
      <w:r w:rsidR="00F01BCC">
        <w:t>,</w:t>
      </w:r>
      <w:r w:rsidRPr="00A37448">
        <w:t xml:space="preserve"> </w:t>
      </w:r>
      <w:r w:rsidR="00A37448" w:rsidRPr="0021783F">
        <w:t xml:space="preserve">and </w:t>
      </w:r>
      <w:r w:rsidR="00F01BCC">
        <w:t xml:space="preserve">for </w:t>
      </w:r>
      <w:r w:rsidR="00A37448" w:rsidRPr="0021783F">
        <w:t>a higher number of assets than inundation. This is due to the bigger extension of the erosion hazard and the lower adaptative capacity to the erosion hazard.</w:t>
      </w:r>
      <w:r w:rsidR="00F01BCC">
        <w:t xml:space="preserve"> </w:t>
      </w:r>
      <w:r w:rsidR="00A37448" w:rsidRPr="0021783F">
        <w:t>Extreme vulnerability to erosion has been identified from the present day onwards for more than one asset category in all MU’s except MU1.</w:t>
      </w:r>
      <w:r w:rsidR="00A37448">
        <w:t xml:space="preserve"> </w:t>
      </w:r>
    </w:p>
    <w:p w14:paraId="4BBF2335" w14:textId="695E1971" w:rsidR="00A37448" w:rsidRPr="00A37448" w:rsidRDefault="00A37448" w:rsidP="00A37448">
      <w:pPr>
        <w:pStyle w:val="BodyText"/>
      </w:pPr>
      <w:r w:rsidRPr="0021783F">
        <w:t xml:space="preserve">The inundation vulnerability ratings </w:t>
      </w:r>
      <w:r>
        <w:t>are generally</w:t>
      </w:r>
      <w:r w:rsidRPr="0021783F">
        <w:t xml:space="preserve"> low and medium ratings from present day. At the 100-year timeframe the </w:t>
      </w:r>
      <w:r>
        <w:t>ratings are generally medium, with r</w:t>
      </w:r>
      <w:r w:rsidRPr="0021783F">
        <w:t xml:space="preserve">esidential, </w:t>
      </w:r>
      <w:r>
        <w:t>p</w:t>
      </w:r>
      <w:r w:rsidRPr="0021783F">
        <w:t xml:space="preserve">ublic and </w:t>
      </w:r>
      <w:r>
        <w:t>c</w:t>
      </w:r>
      <w:r w:rsidRPr="0021783F">
        <w:t>ommercial categories present</w:t>
      </w:r>
      <w:r>
        <w:t>ing</w:t>
      </w:r>
      <w:r w:rsidRPr="0021783F">
        <w:t xml:space="preserve"> high</w:t>
      </w:r>
      <w:r>
        <w:t xml:space="preserve"> levels of</w:t>
      </w:r>
      <w:r w:rsidRPr="0021783F">
        <w:t xml:space="preserve"> vulnerability</w:t>
      </w:r>
      <w:r>
        <w:t>.</w:t>
      </w:r>
    </w:p>
    <w:p w14:paraId="0AB48253" w14:textId="4D0D0FDE" w:rsidR="00481BA3" w:rsidRPr="00F01BCC" w:rsidRDefault="00481BA3" w:rsidP="00481BA3">
      <w:pPr>
        <w:pStyle w:val="BodyText"/>
      </w:pPr>
      <w:r w:rsidRPr="00F01BCC">
        <w:lastRenderedPageBreak/>
        <w:t xml:space="preserve">Recommended adaptation options to manage the coastal erosion and inundation risk are presented to give direction for future investigations and funding opportunities. The recommendations are preliminary as they are based on currently available information. Future investigations are required to confirm they are suitable, including further consultation with stakeholders and the community. Subsequently a likely outcome is that a combination of options may be the preferred approach in some locations. The recommendations are based on the analysis presented in this report. Additional considerations may be incorporated into future analyses. </w:t>
      </w:r>
    </w:p>
    <w:p w14:paraId="49F86040" w14:textId="0D4FFFD0" w:rsidR="00481BA3" w:rsidRPr="00F01BCC" w:rsidRDefault="00481BA3" w:rsidP="00481BA3">
      <w:pPr>
        <w:pStyle w:val="BodyText"/>
      </w:pPr>
      <w:r w:rsidRPr="00F01BCC">
        <w:t xml:space="preserve">The proposed Options should be the subject of further investigations, surveys, policy review, impact investigations (environmental, visual and social), development approval and </w:t>
      </w:r>
      <w:r w:rsidR="00FB4101" w:rsidRPr="00F01BCC">
        <w:t>authorities’</w:t>
      </w:r>
      <w:r w:rsidRPr="00F01BCC">
        <w:t xml:space="preserve"> endorsement, local stakeholder and community engagement, preliminary design, detailed design, costing and any other applicable preparation work required prior to be implemented. The Options should be optimised and modified following such additional investigations. </w:t>
      </w:r>
    </w:p>
    <w:p w14:paraId="75174B19" w14:textId="1FE097F9" w:rsidR="00515FD7" w:rsidRPr="00811E08" w:rsidRDefault="00481BA3" w:rsidP="00481BA3">
      <w:pPr>
        <w:pStyle w:val="BodyText"/>
      </w:pPr>
      <w:r w:rsidRPr="00515FD7">
        <w:t xml:space="preserve">To address erosion for the </w:t>
      </w:r>
      <w:r w:rsidR="00F01BCC" w:rsidRPr="00515FD7">
        <w:t>PRH</w:t>
      </w:r>
      <w:r w:rsidRPr="00515FD7">
        <w:t xml:space="preserve"> coastline in the short-term a combination of Planned / Managed Retreat (MU</w:t>
      </w:r>
      <w:r w:rsidR="00515FD7" w:rsidRPr="00515FD7">
        <w:t>4</w:t>
      </w:r>
      <w:r w:rsidRPr="00515FD7">
        <w:t xml:space="preserve">) and Protection with </w:t>
      </w:r>
      <w:r w:rsidR="00811E08">
        <w:t xml:space="preserve">existing Seawalls (parts of MU1; and parts of MU5) and </w:t>
      </w:r>
      <w:r w:rsidR="00515FD7" w:rsidRPr="00515FD7">
        <w:t>Beach Renourishment</w:t>
      </w:r>
      <w:r w:rsidRPr="00515FD7">
        <w:t xml:space="preserve"> (</w:t>
      </w:r>
      <w:r w:rsidR="00811E08">
        <w:t xml:space="preserve">parts of </w:t>
      </w:r>
      <w:r w:rsidRPr="00515FD7">
        <w:t>MU</w:t>
      </w:r>
      <w:r w:rsidR="00515FD7" w:rsidRPr="00515FD7">
        <w:t>1</w:t>
      </w:r>
      <w:r w:rsidR="00811E08">
        <w:t>;</w:t>
      </w:r>
      <w:r w:rsidRPr="00515FD7">
        <w:t xml:space="preserve"> MU</w:t>
      </w:r>
      <w:r w:rsidR="00515FD7" w:rsidRPr="00515FD7">
        <w:t>2</w:t>
      </w:r>
      <w:r w:rsidR="00811E08">
        <w:t>;</w:t>
      </w:r>
      <w:r w:rsidRPr="00515FD7">
        <w:t xml:space="preserve"> M</w:t>
      </w:r>
      <w:r w:rsidR="00811E08">
        <w:t>3;</w:t>
      </w:r>
      <w:r w:rsidRPr="00515FD7">
        <w:t xml:space="preserve"> and MU</w:t>
      </w:r>
      <w:r w:rsidR="00515FD7" w:rsidRPr="00515FD7">
        <w:t>5</w:t>
      </w:r>
      <w:r w:rsidRPr="00515FD7">
        <w:t xml:space="preserve">) has been shown to </w:t>
      </w:r>
      <w:r w:rsidRPr="00811E08">
        <w:t xml:space="preserve">the preferred approach as a result of this analysis. To address inundation in the short-term </w:t>
      </w:r>
      <w:r w:rsidR="00515FD7" w:rsidRPr="00811E08">
        <w:t xml:space="preserve">a combination of Accommodate (MU1) and Protection with Levees </w:t>
      </w:r>
      <w:r w:rsidR="00811E08" w:rsidRPr="00811E08">
        <w:t xml:space="preserve">(parts of MU2, MU3, MU4, and MU5) </w:t>
      </w:r>
      <w:r w:rsidR="00515FD7" w:rsidRPr="00811E08">
        <w:t>has been shown to the preferred approach. I</w:t>
      </w:r>
      <w:r w:rsidRPr="00811E08">
        <w:t>t is recommended investigations are undertaken to confirm suitable levee design</w:t>
      </w:r>
      <w:r w:rsidR="00811E08" w:rsidRPr="00811E08">
        <w:t>.</w:t>
      </w:r>
      <w:r w:rsidRPr="00811E08">
        <w:t xml:space="preserve"> </w:t>
      </w:r>
      <w:r w:rsidR="005A33E2">
        <w:t xml:space="preserve">Individual maps depicting each hazard and the extent of proposed treatment options for each MU are provided in </w:t>
      </w:r>
      <w:r w:rsidR="005A33E2">
        <w:fldChar w:fldCharType="begin"/>
      </w:r>
      <w:r w:rsidR="005A33E2">
        <w:instrText xml:space="preserve"> REF _Ref164174412 \n \h </w:instrText>
      </w:r>
      <w:r w:rsidR="005A33E2">
        <w:fldChar w:fldCharType="separate"/>
      </w:r>
      <w:r w:rsidR="005A33E2">
        <w:t>Appendix A</w:t>
      </w:r>
      <w:r w:rsidR="005A33E2">
        <w:fldChar w:fldCharType="end"/>
      </w:r>
      <w:r w:rsidR="005A33E2">
        <w:t>.</w:t>
      </w:r>
    </w:p>
    <w:p w14:paraId="5AB56775" w14:textId="77777777" w:rsidR="00481BA3" w:rsidRPr="00811E08" w:rsidRDefault="00481BA3" w:rsidP="00481BA3">
      <w:pPr>
        <w:pStyle w:val="BodyText"/>
      </w:pPr>
      <w:r w:rsidRPr="00811E08">
        <w:t>A number of additional general investigations are recommended:</w:t>
      </w:r>
    </w:p>
    <w:p w14:paraId="16562661" w14:textId="406E463A" w:rsidR="00811E08" w:rsidRPr="00811E08" w:rsidRDefault="00811E08" w:rsidP="00B32A91">
      <w:pPr>
        <w:pStyle w:val="ListBullet0"/>
        <w:numPr>
          <w:ilvl w:val="0"/>
          <w:numId w:val="17"/>
        </w:numPr>
      </w:pPr>
      <w:r w:rsidRPr="00811E08">
        <w:t>Foreshore asset audit to inform asset management.</w:t>
      </w:r>
    </w:p>
    <w:p w14:paraId="7B79E356" w14:textId="77777777" w:rsidR="00811E08" w:rsidRPr="00811E08" w:rsidRDefault="00811E08" w:rsidP="00B32A91">
      <w:pPr>
        <w:pStyle w:val="ListBullet0"/>
        <w:numPr>
          <w:ilvl w:val="0"/>
          <w:numId w:val="17"/>
        </w:numPr>
      </w:pPr>
      <w:r w:rsidRPr="00811E08">
        <w:t xml:space="preserve">Investigate opportunities for leaseback of land and land swaps in the context of planned and managed retreat. </w:t>
      </w:r>
    </w:p>
    <w:p w14:paraId="7D72F6F7" w14:textId="77777777" w:rsidR="00811E08" w:rsidRPr="00811E08" w:rsidRDefault="00811E08" w:rsidP="00B32A91">
      <w:pPr>
        <w:pStyle w:val="ListBullet0"/>
        <w:numPr>
          <w:ilvl w:val="0"/>
          <w:numId w:val="17"/>
        </w:numPr>
      </w:pPr>
      <w:r w:rsidRPr="00811E08">
        <w:t>Sand source feasibility study.</w:t>
      </w:r>
    </w:p>
    <w:p w14:paraId="3E796FCC" w14:textId="77777777" w:rsidR="00811E08" w:rsidRPr="00811E08" w:rsidRDefault="00811E08" w:rsidP="00B32A91">
      <w:pPr>
        <w:pStyle w:val="ListBullet0"/>
        <w:numPr>
          <w:ilvl w:val="0"/>
          <w:numId w:val="17"/>
        </w:numPr>
      </w:pPr>
      <w:r w:rsidRPr="00811E08">
        <w:t>Emergency evacuation plan.</w:t>
      </w:r>
    </w:p>
    <w:p w14:paraId="53C2BEA6" w14:textId="77777777" w:rsidR="00811E08" w:rsidRPr="00811E08" w:rsidRDefault="00811E08" w:rsidP="00B32A91">
      <w:pPr>
        <w:pStyle w:val="ListBullet0"/>
        <w:numPr>
          <w:ilvl w:val="0"/>
          <w:numId w:val="17"/>
        </w:numPr>
      </w:pPr>
      <w:r w:rsidRPr="00811E08">
        <w:t>Update Foreshore Management Plans.</w:t>
      </w:r>
    </w:p>
    <w:p w14:paraId="7118C277" w14:textId="07B9FDB8" w:rsidR="00811E08" w:rsidRPr="00811E08" w:rsidRDefault="00811E08" w:rsidP="00B32A91">
      <w:pPr>
        <w:pStyle w:val="ListBullet0"/>
        <w:numPr>
          <w:ilvl w:val="0"/>
          <w:numId w:val="17"/>
        </w:numPr>
      </w:pPr>
      <w:r w:rsidRPr="00811E08">
        <w:t>Prioritisation of Management Units and re-analysis of sub-units.</w:t>
      </w:r>
    </w:p>
    <w:p w14:paraId="5347579C" w14:textId="29F3C42F" w:rsidR="00481BA3" w:rsidRPr="00811E08" w:rsidRDefault="00811E08" w:rsidP="00B32A91">
      <w:pPr>
        <w:pStyle w:val="ListBullet0"/>
        <w:numPr>
          <w:ilvl w:val="0"/>
          <w:numId w:val="17"/>
        </w:numPr>
      </w:pPr>
      <w:r w:rsidRPr="00811E08">
        <w:t>Feasibility study of combining treatment of both erosion and inundation hazard with one management option.</w:t>
      </w:r>
      <w:r w:rsidR="00481BA3" w:rsidRPr="00811E08">
        <w:t xml:space="preserve"> </w:t>
      </w:r>
    </w:p>
    <w:p w14:paraId="72F8E10C" w14:textId="77777777" w:rsidR="00481BA3" w:rsidRPr="00F01BCC" w:rsidRDefault="00481BA3" w:rsidP="00481BA3">
      <w:pPr>
        <w:pStyle w:val="BodyText"/>
      </w:pPr>
      <w:r w:rsidRPr="00F01BCC">
        <w:t>The CHRMAP is a strategic planning document that considers long timeframes. While the CHRMAP provides a rationale for coastal hazard management a substantial amount of preparatory work, detailed in the CHRMAP recommendations, is required before “on-the-ground implementation” can proceed. The next phase of research and studies would consider priority items in more detail, including:</w:t>
      </w:r>
    </w:p>
    <w:p w14:paraId="50DE8058" w14:textId="77777777" w:rsidR="00481BA3" w:rsidRPr="00F01BCC" w:rsidRDefault="00481BA3" w:rsidP="00B32A91">
      <w:pPr>
        <w:pStyle w:val="ListBullet0"/>
        <w:numPr>
          <w:ilvl w:val="0"/>
          <w:numId w:val="17"/>
        </w:numPr>
      </w:pPr>
      <w:r w:rsidRPr="00F01BCC">
        <w:t>Community and stakeholder engagement</w:t>
      </w:r>
    </w:p>
    <w:p w14:paraId="02EE9AE5" w14:textId="77777777" w:rsidR="00481BA3" w:rsidRPr="00F01BCC" w:rsidRDefault="00481BA3" w:rsidP="00B32A91">
      <w:pPr>
        <w:pStyle w:val="ListBullet0"/>
        <w:numPr>
          <w:ilvl w:val="0"/>
          <w:numId w:val="17"/>
        </w:numPr>
      </w:pPr>
      <w:r w:rsidRPr="00F01BCC">
        <w:t>Data collection and analysis</w:t>
      </w:r>
    </w:p>
    <w:p w14:paraId="16B8FE63" w14:textId="77777777" w:rsidR="00481BA3" w:rsidRPr="00F01BCC" w:rsidRDefault="00481BA3" w:rsidP="00B32A91">
      <w:pPr>
        <w:pStyle w:val="ListBullet0"/>
        <w:numPr>
          <w:ilvl w:val="0"/>
          <w:numId w:val="17"/>
        </w:numPr>
      </w:pPr>
      <w:r w:rsidRPr="00F01BCC">
        <w:t>Preliminary and detailed design investigations</w:t>
      </w:r>
    </w:p>
    <w:p w14:paraId="5203E279" w14:textId="77777777" w:rsidR="00481BA3" w:rsidRPr="00F01BCC" w:rsidRDefault="00481BA3" w:rsidP="00B32A91">
      <w:pPr>
        <w:pStyle w:val="ListBullet0"/>
        <w:numPr>
          <w:ilvl w:val="0"/>
          <w:numId w:val="17"/>
        </w:numPr>
      </w:pPr>
      <w:r w:rsidRPr="00F01BCC">
        <w:t>Environmental investigations to mitigate potential impacts</w:t>
      </w:r>
    </w:p>
    <w:p w14:paraId="7A1429E0" w14:textId="77777777" w:rsidR="00481BA3" w:rsidRPr="00F01BCC" w:rsidRDefault="00481BA3" w:rsidP="00B32A91">
      <w:pPr>
        <w:pStyle w:val="ListBullet0"/>
        <w:numPr>
          <w:ilvl w:val="0"/>
          <w:numId w:val="17"/>
        </w:numPr>
      </w:pPr>
      <w:r w:rsidRPr="00F01BCC">
        <w:t>Economic and budgeting analysis to determine accurate costs, once detailed designs are available</w:t>
      </w:r>
    </w:p>
    <w:p w14:paraId="1EA0C0F3" w14:textId="77777777" w:rsidR="00AB7E9F" w:rsidRPr="00792B38" w:rsidRDefault="00AB7E9F">
      <w:pPr>
        <w:spacing w:before="80" w:after="80"/>
        <w:rPr>
          <w:rFonts w:eastAsia="Times New Roman" w:cs="Times New Roman"/>
          <w:szCs w:val="24"/>
          <w:lang w:eastAsia="en-AU"/>
        </w:rPr>
      </w:pPr>
      <w:r w:rsidRPr="00792B38">
        <w:br w:type="page"/>
      </w:r>
    </w:p>
    <w:p w14:paraId="382350F4" w14:textId="2BF1EFC8" w:rsidR="00B93B38" w:rsidRPr="00877900" w:rsidRDefault="00B93B38" w:rsidP="00FB4101">
      <w:pPr>
        <w:pStyle w:val="TOCHeading"/>
        <w:tabs>
          <w:tab w:val="left" w:pos="3142"/>
        </w:tabs>
      </w:pPr>
      <w:r w:rsidRPr="00877900">
        <w:lastRenderedPageBreak/>
        <w:t>Contents</w:t>
      </w:r>
      <w:r w:rsidR="00FB4101">
        <w:tab/>
      </w:r>
    </w:p>
    <w:bookmarkStart w:id="1" w:name="TOC"/>
    <w:p w14:paraId="6CB814EE" w14:textId="167C81B9" w:rsidR="00615155" w:rsidRDefault="00B93B38">
      <w:pPr>
        <w:pStyle w:val="TOC4"/>
        <w:rPr>
          <w:rFonts w:eastAsiaTheme="minorEastAsia"/>
          <w:caps w:val="0"/>
          <w:color w:val="auto"/>
          <w:kern w:val="2"/>
          <w:sz w:val="24"/>
          <w:szCs w:val="24"/>
          <w:lang w:eastAsia="en-AU"/>
          <w14:ligatures w14:val="standardContextual"/>
        </w:rPr>
      </w:pPr>
      <w:r w:rsidRPr="00877900">
        <w:rPr>
          <w:b/>
        </w:rPr>
        <w:fldChar w:fldCharType="begin"/>
      </w:r>
      <w:r w:rsidRPr="00877900">
        <w:rPr>
          <w:b/>
        </w:rPr>
        <w:instrText xml:space="preserve"> TOC \t "Heading 1,4,Heading 2,5,Heading 3,3,Alt Heading 1,1,Alt Heading 2,2,Alt Heading 3,3" </w:instrText>
      </w:r>
      <w:r w:rsidRPr="00877900">
        <w:rPr>
          <w:b/>
        </w:rPr>
        <w:fldChar w:fldCharType="separate"/>
      </w:r>
      <w:r w:rsidR="00615155">
        <w:t>1</w:t>
      </w:r>
      <w:r w:rsidR="00615155">
        <w:rPr>
          <w:rFonts w:eastAsiaTheme="minorEastAsia"/>
          <w:caps w:val="0"/>
          <w:color w:val="auto"/>
          <w:kern w:val="2"/>
          <w:sz w:val="24"/>
          <w:szCs w:val="24"/>
          <w:lang w:eastAsia="en-AU"/>
          <w14:ligatures w14:val="standardContextual"/>
        </w:rPr>
        <w:tab/>
      </w:r>
      <w:r w:rsidR="00615155">
        <w:t>Introduction</w:t>
      </w:r>
      <w:r w:rsidR="00615155">
        <w:tab/>
      </w:r>
      <w:r w:rsidR="00615155">
        <w:fldChar w:fldCharType="begin"/>
      </w:r>
      <w:r w:rsidR="00615155">
        <w:instrText xml:space="preserve"> PAGEREF _Toc164420850 \h </w:instrText>
      </w:r>
      <w:r w:rsidR="00615155">
        <w:fldChar w:fldCharType="separate"/>
      </w:r>
      <w:r w:rsidR="00615155">
        <w:t>10</w:t>
      </w:r>
      <w:r w:rsidR="00615155">
        <w:fldChar w:fldCharType="end"/>
      </w:r>
    </w:p>
    <w:p w14:paraId="6D07E0CD" w14:textId="0BE1ECCF" w:rsidR="00615155" w:rsidRDefault="00615155">
      <w:pPr>
        <w:pStyle w:val="TOC5"/>
        <w:rPr>
          <w:rFonts w:eastAsiaTheme="minorEastAsia"/>
          <w:color w:val="auto"/>
          <w:kern w:val="2"/>
          <w:sz w:val="24"/>
          <w:szCs w:val="24"/>
          <w:lang w:eastAsia="en-AU"/>
          <w14:ligatures w14:val="standardContextual"/>
        </w:rPr>
      </w:pPr>
      <w:r>
        <w:t>1.1</w:t>
      </w:r>
      <w:r>
        <w:rPr>
          <w:rFonts w:eastAsiaTheme="minorEastAsia"/>
          <w:color w:val="auto"/>
          <w:kern w:val="2"/>
          <w:sz w:val="24"/>
          <w:szCs w:val="24"/>
          <w:lang w:eastAsia="en-AU"/>
          <w14:ligatures w14:val="standardContextual"/>
        </w:rPr>
        <w:tab/>
      </w:r>
      <w:r>
        <w:t>Background</w:t>
      </w:r>
      <w:r>
        <w:tab/>
      </w:r>
      <w:r>
        <w:fldChar w:fldCharType="begin"/>
      </w:r>
      <w:r>
        <w:instrText xml:space="preserve"> PAGEREF _Toc164420851 \h </w:instrText>
      </w:r>
      <w:r>
        <w:fldChar w:fldCharType="separate"/>
      </w:r>
      <w:r>
        <w:t>10</w:t>
      </w:r>
      <w:r>
        <w:fldChar w:fldCharType="end"/>
      </w:r>
    </w:p>
    <w:p w14:paraId="6247F981" w14:textId="77B8093D" w:rsidR="00615155" w:rsidRDefault="00615155">
      <w:pPr>
        <w:pStyle w:val="TOC5"/>
        <w:rPr>
          <w:rFonts w:eastAsiaTheme="minorEastAsia"/>
          <w:color w:val="auto"/>
          <w:kern w:val="2"/>
          <w:sz w:val="24"/>
          <w:szCs w:val="24"/>
          <w:lang w:eastAsia="en-AU"/>
          <w14:ligatures w14:val="standardContextual"/>
        </w:rPr>
      </w:pPr>
      <w:r>
        <w:t>1.2</w:t>
      </w:r>
      <w:r>
        <w:rPr>
          <w:rFonts w:eastAsiaTheme="minorEastAsia"/>
          <w:color w:val="auto"/>
          <w:kern w:val="2"/>
          <w:sz w:val="24"/>
          <w:szCs w:val="24"/>
          <w:lang w:eastAsia="en-AU"/>
          <w14:ligatures w14:val="standardContextual"/>
        </w:rPr>
        <w:tab/>
      </w:r>
      <w:r>
        <w:t>Structure of this Report</w:t>
      </w:r>
      <w:r>
        <w:tab/>
      </w:r>
      <w:r>
        <w:fldChar w:fldCharType="begin"/>
      </w:r>
      <w:r>
        <w:instrText xml:space="preserve"> PAGEREF _Toc164420852 \h </w:instrText>
      </w:r>
      <w:r>
        <w:fldChar w:fldCharType="separate"/>
      </w:r>
      <w:r>
        <w:t>13</w:t>
      </w:r>
      <w:r>
        <w:fldChar w:fldCharType="end"/>
      </w:r>
    </w:p>
    <w:p w14:paraId="7E3BAC64" w14:textId="256A903E" w:rsidR="00615155" w:rsidRDefault="00615155">
      <w:pPr>
        <w:pStyle w:val="TOC4"/>
        <w:rPr>
          <w:rFonts w:eastAsiaTheme="minorEastAsia"/>
          <w:caps w:val="0"/>
          <w:color w:val="auto"/>
          <w:kern w:val="2"/>
          <w:sz w:val="24"/>
          <w:szCs w:val="24"/>
          <w:lang w:eastAsia="en-AU"/>
          <w14:ligatures w14:val="standardContextual"/>
        </w:rPr>
      </w:pPr>
      <w:r>
        <w:t>2</w:t>
      </w:r>
      <w:r>
        <w:rPr>
          <w:rFonts w:eastAsiaTheme="minorEastAsia"/>
          <w:caps w:val="0"/>
          <w:color w:val="auto"/>
          <w:kern w:val="2"/>
          <w:sz w:val="24"/>
          <w:szCs w:val="24"/>
          <w:lang w:eastAsia="en-AU"/>
          <w14:ligatures w14:val="standardContextual"/>
        </w:rPr>
        <w:tab/>
      </w:r>
      <w:r>
        <w:t>Establish the Context</w:t>
      </w:r>
      <w:r>
        <w:tab/>
      </w:r>
      <w:r>
        <w:fldChar w:fldCharType="begin"/>
      </w:r>
      <w:r>
        <w:instrText xml:space="preserve"> PAGEREF _Toc164420853 \h </w:instrText>
      </w:r>
      <w:r>
        <w:fldChar w:fldCharType="separate"/>
      </w:r>
      <w:r>
        <w:t>14</w:t>
      </w:r>
      <w:r>
        <w:fldChar w:fldCharType="end"/>
      </w:r>
    </w:p>
    <w:p w14:paraId="5251730F" w14:textId="0B9120EB" w:rsidR="00615155" w:rsidRDefault="00615155">
      <w:pPr>
        <w:pStyle w:val="TOC5"/>
        <w:rPr>
          <w:rFonts w:eastAsiaTheme="minorEastAsia"/>
          <w:color w:val="auto"/>
          <w:kern w:val="2"/>
          <w:sz w:val="24"/>
          <w:szCs w:val="24"/>
          <w:lang w:eastAsia="en-AU"/>
          <w14:ligatures w14:val="standardContextual"/>
        </w:rPr>
      </w:pPr>
      <w:r>
        <w:t>2.1</w:t>
      </w:r>
      <w:r>
        <w:rPr>
          <w:rFonts w:eastAsiaTheme="minorEastAsia"/>
          <w:color w:val="auto"/>
          <w:kern w:val="2"/>
          <w:sz w:val="24"/>
          <w:szCs w:val="24"/>
          <w:lang w:eastAsia="en-AU"/>
          <w14:ligatures w14:val="standardContextual"/>
        </w:rPr>
        <w:tab/>
      </w:r>
      <w:r>
        <w:t>Purpose</w:t>
      </w:r>
      <w:r>
        <w:tab/>
      </w:r>
      <w:r>
        <w:fldChar w:fldCharType="begin"/>
      </w:r>
      <w:r>
        <w:instrText xml:space="preserve"> PAGEREF _Toc164420854 \h </w:instrText>
      </w:r>
      <w:r>
        <w:fldChar w:fldCharType="separate"/>
      </w:r>
      <w:r>
        <w:t>14</w:t>
      </w:r>
      <w:r>
        <w:fldChar w:fldCharType="end"/>
      </w:r>
    </w:p>
    <w:p w14:paraId="19B7F4AC" w14:textId="451BC75F" w:rsidR="00615155" w:rsidRDefault="00615155">
      <w:pPr>
        <w:pStyle w:val="TOC5"/>
        <w:rPr>
          <w:rFonts w:eastAsiaTheme="minorEastAsia"/>
          <w:color w:val="auto"/>
          <w:kern w:val="2"/>
          <w:sz w:val="24"/>
          <w:szCs w:val="24"/>
          <w:lang w:eastAsia="en-AU"/>
          <w14:ligatures w14:val="standardContextual"/>
        </w:rPr>
      </w:pPr>
      <w:r>
        <w:t>2.2</w:t>
      </w:r>
      <w:r>
        <w:rPr>
          <w:rFonts w:eastAsiaTheme="minorEastAsia"/>
          <w:color w:val="auto"/>
          <w:kern w:val="2"/>
          <w:sz w:val="24"/>
          <w:szCs w:val="24"/>
          <w:lang w:eastAsia="en-AU"/>
          <w14:ligatures w14:val="standardContextual"/>
        </w:rPr>
        <w:tab/>
      </w:r>
      <w:r>
        <w:t>Objectives</w:t>
      </w:r>
      <w:r>
        <w:tab/>
      </w:r>
      <w:r>
        <w:fldChar w:fldCharType="begin"/>
      </w:r>
      <w:r>
        <w:instrText xml:space="preserve"> PAGEREF _Toc164420855 \h </w:instrText>
      </w:r>
      <w:r>
        <w:fldChar w:fldCharType="separate"/>
      </w:r>
      <w:r>
        <w:t>14</w:t>
      </w:r>
      <w:r>
        <w:fldChar w:fldCharType="end"/>
      </w:r>
    </w:p>
    <w:p w14:paraId="41322561" w14:textId="2125C708" w:rsidR="00615155" w:rsidRDefault="00615155">
      <w:pPr>
        <w:pStyle w:val="TOC5"/>
        <w:rPr>
          <w:rFonts w:eastAsiaTheme="minorEastAsia"/>
          <w:color w:val="auto"/>
          <w:kern w:val="2"/>
          <w:sz w:val="24"/>
          <w:szCs w:val="24"/>
          <w:lang w:eastAsia="en-AU"/>
          <w14:ligatures w14:val="standardContextual"/>
        </w:rPr>
      </w:pPr>
      <w:r>
        <w:t>2.3</w:t>
      </w:r>
      <w:r>
        <w:rPr>
          <w:rFonts w:eastAsiaTheme="minorEastAsia"/>
          <w:color w:val="auto"/>
          <w:kern w:val="2"/>
          <w:sz w:val="24"/>
          <w:szCs w:val="24"/>
          <w:lang w:eastAsia="en-AU"/>
          <w14:ligatures w14:val="standardContextual"/>
        </w:rPr>
        <w:tab/>
      </w:r>
      <w:r>
        <w:t>Scope</w:t>
      </w:r>
      <w:r>
        <w:tab/>
      </w:r>
      <w:r>
        <w:fldChar w:fldCharType="begin"/>
      </w:r>
      <w:r>
        <w:instrText xml:space="preserve"> PAGEREF _Toc164420856 \h </w:instrText>
      </w:r>
      <w:r>
        <w:fldChar w:fldCharType="separate"/>
      </w:r>
      <w:r>
        <w:t>14</w:t>
      </w:r>
      <w:r>
        <w:fldChar w:fldCharType="end"/>
      </w:r>
    </w:p>
    <w:p w14:paraId="3BD0CB3D" w14:textId="3FF1A248" w:rsidR="00615155" w:rsidRDefault="00615155">
      <w:pPr>
        <w:pStyle w:val="TOC5"/>
        <w:rPr>
          <w:rFonts w:eastAsiaTheme="minorEastAsia"/>
          <w:color w:val="auto"/>
          <w:kern w:val="2"/>
          <w:sz w:val="24"/>
          <w:szCs w:val="24"/>
          <w:lang w:eastAsia="en-AU"/>
          <w14:ligatures w14:val="standardContextual"/>
        </w:rPr>
      </w:pPr>
      <w:r>
        <w:t>2.4</w:t>
      </w:r>
      <w:r>
        <w:rPr>
          <w:rFonts w:eastAsiaTheme="minorEastAsia"/>
          <w:color w:val="auto"/>
          <w:kern w:val="2"/>
          <w:sz w:val="24"/>
          <w:szCs w:val="24"/>
          <w:lang w:eastAsia="en-AU"/>
          <w14:ligatures w14:val="standardContextual"/>
        </w:rPr>
        <w:tab/>
      </w:r>
      <w:r>
        <w:t>Local Context</w:t>
      </w:r>
      <w:r>
        <w:tab/>
      </w:r>
      <w:r>
        <w:fldChar w:fldCharType="begin"/>
      </w:r>
      <w:r>
        <w:instrText xml:space="preserve"> PAGEREF _Toc164420857 \h </w:instrText>
      </w:r>
      <w:r>
        <w:fldChar w:fldCharType="separate"/>
      </w:r>
      <w:r>
        <w:t>15</w:t>
      </w:r>
      <w:r>
        <w:fldChar w:fldCharType="end"/>
      </w:r>
    </w:p>
    <w:p w14:paraId="5411A432" w14:textId="38A8DB50" w:rsidR="00615155" w:rsidRDefault="00615155">
      <w:pPr>
        <w:pStyle w:val="TOC5"/>
        <w:rPr>
          <w:rFonts w:eastAsiaTheme="minorEastAsia"/>
          <w:color w:val="auto"/>
          <w:kern w:val="2"/>
          <w:sz w:val="24"/>
          <w:szCs w:val="24"/>
          <w:lang w:eastAsia="en-AU"/>
          <w14:ligatures w14:val="standardContextual"/>
        </w:rPr>
      </w:pPr>
      <w:r>
        <w:t>2.5</w:t>
      </w:r>
      <w:r>
        <w:rPr>
          <w:rFonts w:eastAsiaTheme="minorEastAsia"/>
          <w:color w:val="auto"/>
          <w:kern w:val="2"/>
          <w:sz w:val="24"/>
          <w:szCs w:val="24"/>
          <w:lang w:eastAsia="en-AU"/>
          <w14:ligatures w14:val="standardContextual"/>
        </w:rPr>
        <w:tab/>
      </w:r>
      <w:r>
        <w:t>Existing Planning Controls</w:t>
      </w:r>
      <w:r>
        <w:tab/>
      </w:r>
      <w:r>
        <w:fldChar w:fldCharType="begin"/>
      </w:r>
      <w:r>
        <w:instrText xml:space="preserve"> PAGEREF _Toc164420858 \h </w:instrText>
      </w:r>
      <w:r>
        <w:fldChar w:fldCharType="separate"/>
      </w:r>
      <w:r>
        <w:t>15</w:t>
      </w:r>
      <w:r>
        <w:fldChar w:fldCharType="end"/>
      </w:r>
    </w:p>
    <w:p w14:paraId="43D5057B" w14:textId="51D4362E" w:rsidR="00615155" w:rsidRDefault="00615155">
      <w:pPr>
        <w:pStyle w:val="TOC5"/>
        <w:rPr>
          <w:rFonts w:eastAsiaTheme="minorEastAsia"/>
          <w:color w:val="auto"/>
          <w:kern w:val="2"/>
          <w:sz w:val="24"/>
          <w:szCs w:val="24"/>
          <w:lang w:eastAsia="en-AU"/>
          <w14:ligatures w14:val="standardContextual"/>
        </w:rPr>
      </w:pPr>
      <w:r>
        <w:t>2.6</w:t>
      </w:r>
      <w:r>
        <w:rPr>
          <w:rFonts w:eastAsiaTheme="minorEastAsia"/>
          <w:color w:val="auto"/>
          <w:kern w:val="2"/>
          <w:sz w:val="24"/>
          <w:szCs w:val="24"/>
          <w:lang w:eastAsia="en-AU"/>
          <w14:ligatures w14:val="standardContextual"/>
        </w:rPr>
        <w:tab/>
      </w:r>
      <w:r>
        <w:t>State Planning Policies and Strategies</w:t>
      </w:r>
      <w:r>
        <w:tab/>
      </w:r>
      <w:r>
        <w:fldChar w:fldCharType="begin"/>
      </w:r>
      <w:r>
        <w:instrText xml:space="preserve"> PAGEREF _Toc164420859 \h </w:instrText>
      </w:r>
      <w:r>
        <w:fldChar w:fldCharType="separate"/>
      </w:r>
      <w:r>
        <w:t>16</w:t>
      </w:r>
      <w:r>
        <w:fldChar w:fldCharType="end"/>
      </w:r>
    </w:p>
    <w:p w14:paraId="5E400810" w14:textId="3C3A873B" w:rsidR="00615155" w:rsidRDefault="00615155">
      <w:pPr>
        <w:pStyle w:val="TOC5"/>
        <w:rPr>
          <w:rFonts w:eastAsiaTheme="minorEastAsia"/>
          <w:color w:val="auto"/>
          <w:kern w:val="2"/>
          <w:sz w:val="24"/>
          <w:szCs w:val="24"/>
          <w:lang w:eastAsia="en-AU"/>
          <w14:ligatures w14:val="standardContextual"/>
        </w:rPr>
      </w:pPr>
      <w:r>
        <w:t>2.7</w:t>
      </w:r>
      <w:r>
        <w:rPr>
          <w:rFonts w:eastAsiaTheme="minorEastAsia"/>
          <w:color w:val="auto"/>
          <w:kern w:val="2"/>
          <w:sz w:val="24"/>
          <w:szCs w:val="24"/>
          <w:lang w:eastAsia="en-AU"/>
          <w14:ligatures w14:val="standardContextual"/>
        </w:rPr>
        <w:tab/>
      </w:r>
      <w:r>
        <w:t>Community and Stakeholder Engagement</w:t>
      </w:r>
      <w:r>
        <w:tab/>
      </w:r>
      <w:r>
        <w:fldChar w:fldCharType="begin"/>
      </w:r>
      <w:r>
        <w:instrText xml:space="preserve"> PAGEREF _Toc164420860 \h </w:instrText>
      </w:r>
      <w:r>
        <w:fldChar w:fldCharType="separate"/>
      </w:r>
      <w:r>
        <w:t>17</w:t>
      </w:r>
      <w:r>
        <w:fldChar w:fldCharType="end"/>
      </w:r>
    </w:p>
    <w:p w14:paraId="5982397C" w14:textId="45B671FB" w:rsidR="00615155" w:rsidRDefault="00615155">
      <w:pPr>
        <w:pStyle w:val="TOC4"/>
        <w:rPr>
          <w:rFonts w:eastAsiaTheme="minorEastAsia"/>
          <w:caps w:val="0"/>
          <w:color w:val="auto"/>
          <w:kern w:val="2"/>
          <w:sz w:val="24"/>
          <w:szCs w:val="24"/>
          <w:lang w:eastAsia="en-AU"/>
          <w14:ligatures w14:val="standardContextual"/>
        </w:rPr>
      </w:pPr>
      <w:r>
        <w:t>3</w:t>
      </w:r>
      <w:r>
        <w:rPr>
          <w:rFonts w:eastAsiaTheme="minorEastAsia"/>
          <w:caps w:val="0"/>
          <w:color w:val="auto"/>
          <w:kern w:val="2"/>
          <w:sz w:val="24"/>
          <w:szCs w:val="24"/>
          <w:lang w:eastAsia="en-AU"/>
          <w14:ligatures w14:val="standardContextual"/>
        </w:rPr>
        <w:tab/>
      </w:r>
      <w:r>
        <w:t>Risk Identification</w:t>
      </w:r>
      <w:r>
        <w:tab/>
      </w:r>
      <w:r>
        <w:fldChar w:fldCharType="begin"/>
      </w:r>
      <w:r>
        <w:instrText xml:space="preserve"> PAGEREF _Toc164420861 \h </w:instrText>
      </w:r>
      <w:r>
        <w:fldChar w:fldCharType="separate"/>
      </w:r>
      <w:r>
        <w:t>19</w:t>
      </w:r>
      <w:r>
        <w:fldChar w:fldCharType="end"/>
      </w:r>
    </w:p>
    <w:p w14:paraId="73E4248F" w14:textId="0F2AD352" w:rsidR="00615155" w:rsidRDefault="00615155">
      <w:pPr>
        <w:pStyle w:val="TOC5"/>
        <w:rPr>
          <w:rFonts w:eastAsiaTheme="minorEastAsia"/>
          <w:color w:val="auto"/>
          <w:kern w:val="2"/>
          <w:sz w:val="24"/>
          <w:szCs w:val="24"/>
          <w:lang w:eastAsia="en-AU"/>
          <w14:ligatures w14:val="standardContextual"/>
        </w:rPr>
      </w:pPr>
      <w:r>
        <w:t>3.1</w:t>
      </w:r>
      <w:r>
        <w:rPr>
          <w:rFonts w:eastAsiaTheme="minorEastAsia"/>
          <w:color w:val="auto"/>
          <w:kern w:val="2"/>
          <w:sz w:val="24"/>
          <w:szCs w:val="24"/>
          <w:lang w:eastAsia="en-AU"/>
          <w14:ligatures w14:val="standardContextual"/>
        </w:rPr>
        <w:tab/>
      </w:r>
      <w:r>
        <w:t>Erosion Hazard Assessment Method</w:t>
      </w:r>
      <w:r>
        <w:tab/>
      </w:r>
      <w:r>
        <w:fldChar w:fldCharType="begin"/>
      </w:r>
      <w:r>
        <w:instrText xml:space="preserve"> PAGEREF _Toc164420862 \h </w:instrText>
      </w:r>
      <w:r>
        <w:fldChar w:fldCharType="separate"/>
      </w:r>
      <w:r>
        <w:t>19</w:t>
      </w:r>
      <w:r>
        <w:fldChar w:fldCharType="end"/>
      </w:r>
    </w:p>
    <w:p w14:paraId="125B6BFA" w14:textId="59155065"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3.1.1</w:t>
      </w:r>
      <w:r>
        <w:rPr>
          <w:rFonts w:eastAsiaTheme="minorEastAsia"/>
          <w:noProof/>
          <w:color w:val="auto"/>
          <w:kern w:val="2"/>
          <w:sz w:val="24"/>
          <w:szCs w:val="24"/>
          <w:lang w:eastAsia="en-AU"/>
          <w14:ligatures w14:val="standardContextual"/>
        </w:rPr>
        <w:tab/>
      </w:r>
      <w:r>
        <w:rPr>
          <w:noProof/>
        </w:rPr>
        <w:t>Summary</w:t>
      </w:r>
      <w:r>
        <w:rPr>
          <w:noProof/>
        </w:rPr>
        <w:tab/>
      </w:r>
      <w:r>
        <w:rPr>
          <w:noProof/>
        </w:rPr>
        <w:fldChar w:fldCharType="begin"/>
      </w:r>
      <w:r>
        <w:rPr>
          <w:noProof/>
        </w:rPr>
        <w:instrText xml:space="preserve"> PAGEREF _Toc164420863 \h </w:instrText>
      </w:r>
      <w:r>
        <w:rPr>
          <w:noProof/>
        </w:rPr>
      </w:r>
      <w:r>
        <w:rPr>
          <w:noProof/>
        </w:rPr>
        <w:fldChar w:fldCharType="separate"/>
      </w:r>
      <w:r>
        <w:rPr>
          <w:noProof/>
        </w:rPr>
        <w:t>19</w:t>
      </w:r>
      <w:r>
        <w:rPr>
          <w:noProof/>
        </w:rPr>
        <w:fldChar w:fldCharType="end"/>
      </w:r>
    </w:p>
    <w:p w14:paraId="584A0A32" w14:textId="0E1A84AD"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3.1.2</w:t>
      </w:r>
      <w:r>
        <w:rPr>
          <w:rFonts w:eastAsiaTheme="minorEastAsia"/>
          <w:noProof/>
          <w:color w:val="auto"/>
          <w:kern w:val="2"/>
          <w:sz w:val="24"/>
          <w:szCs w:val="24"/>
          <w:lang w:eastAsia="en-AU"/>
          <w14:ligatures w14:val="standardContextual"/>
        </w:rPr>
        <w:tab/>
      </w:r>
      <w:r>
        <w:rPr>
          <w:noProof/>
        </w:rPr>
        <w:t>Method</w:t>
      </w:r>
      <w:r>
        <w:rPr>
          <w:noProof/>
        </w:rPr>
        <w:tab/>
      </w:r>
      <w:r>
        <w:rPr>
          <w:noProof/>
        </w:rPr>
        <w:fldChar w:fldCharType="begin"/>
      </w:r>
      <w:r>
        <w:rPr>
          <w:noProof/>
        </w:rPr>
        <w:instrText xml:space="preserve"> PAGEREF _Toc164420864 \h </w:instrText>
      </w:r>
      <w:r>
        <w:rPr>
          <w:noProof/>
        </w:rPr>
      </w:r>
      <w:r>
        <w:rPr>
          <w:noProof/>
        </w:rPr>
        <w:fldChar w:fldCharType="separate"/>
      </w:r>
      <w:r>
        <w:rPr>
          <w:noProof/>
        </w:rPr>
        <w:t>19</w:t>
      </w:r>
      <w:r>
        <w:rPr>
          <w:noProof/>
        </w:rPr>
        <w:fldChar w:fldCharType="end"/>
      </w:r>
    </w:p>
    <w:p w14:paraId="2B75F8BB" w14:textId="2C629CDA" w:rsidR="00615155" w:rsidRDefault="00615155">
      <w:pPr>
        <w:pStyle w:val="TOC5"/>
        <w:rPr>
          <w:rFonts w:eastAsiaTheme="minorEastAsia"/>
          <w:color w:val="auto"/>
          <w:kern w:val="2"/>
          <w:sz w:val="24"/>
          <w:szCs w:val="24"/>
          <w:lang w:eastAsia="en-AU"/>
          <w14:ligatures w14:val="standardContextual"/>
        </w:rPr>
      </w:pPr>
      <w:r>
        <w:t>3.2</w:t>
      </w:r>
      <w:r>
        <w:rPr>
          <w:rFonts w:eastAsiaTheme="minorEastAsia"/>
          <w:color w:val="auto"/>
          <w:kern w:val="2"/>
          <w:sz w:val="24"/>
          <w:szCs w:val="24"/>
          <w:lang w:eastAsia="en-AU"/>
          <w14:ligatures w14:val="standardContextual"/>
        </w:rPr>
        <w:tab/>
      </w:r>
      <w:r>
        <w:t>Inundation Hazard Method</w:t>
      </w:r>
      <w:r>
        <w:tab/>
      </w:r>
      <w:r>
        <w:fldChar w:fldCharType="begin"/>
      </w:r>
      <w:r>
        <w:instrText xml:space="preserve"> PAGEREF _Toc164420865 \h </w:instrText>
      </w:r>
      <w:r>
        <w:fldChar w:fldCharType="separate"/>
      </w:r>
      <w:r>
        <w:t>20</w:t>
      </w:r>
      <w:r>
        <w:fldChar w:fldCharType="end"/>
      </w:r>
    </w:p>
    <w:p w14:paraId="67D3EC3B" w14:textId="5DF7FFF3" w:rsidR="00615155" w:rsidRDefault="00615155">
      <w:pPr>
        <w:pStyle w:val="TOC5"/>
        <w:rPr>
          <w:rFonts w:eastAsiaTheme="minorEastAsia"/>
          <w:color w:val="auto"/>
          <w:kern w:val="2"/>
          <w:sz w:val="24"/>
          <w:szCs w:val="24"/>
          <w:lang w:eastAsia="en-AU"/>
          <w14:ligatures w14:val="standardContextual"/>
        </w:rPr>
      </w:pPr>
      <w:r>
        <w:t>3.3</w:t>
      </w:r>
      <w:r>
        <w:rPr>
          <w:rFonts w:eastAsiaTheme="minorEastAsia"/>
          <w:color w:val="auto"/>
          <w:kern w:val="2"/>
          <w:sz w:val="24"/>
          <w:szCs w:val="24"/>
          <w:lang w:eastAsia="en-AU"/>
          <w14:ligatures w14:val="standardContextual"/>
        </w:rPr>
        <w:tab/>
      </w:r>
      <w:r>
        <w:t>Hazard Results</w:t>
      </w:r>
      <w:r>
        <w:tab/>
      </w:r>
      <w:r>
        <w:fldChar w:fldCharType="begin"/>
      </w:r>
      <w:r>
        <w:instrText xml:space="preserve"> PAGEREF _Toc164420866 \h </w:instrText>
      </w:r>
      <w:r>
        <w:fldChar w:fldCharType="separate"/>
      </w:r>
      <w:r>
        <w:t>20</w:t>
      </w:r>
      <w:r>
        <w:fldChar w:fldCharType="end"/>
      </w:r>
    </w:p>
    <w:p w14:paraId="481A8C84" w14:textId="68982275" w:rsidR="00615155" w:rsidRDefault="00615155">
      <w:pPr>
        <w:pStyle w:val="TOC4"/>
        <w:rPr>
          <w:rFonts w:eastAsiaTheme="minorEastAsia"/>
          <w:caps w:val="0"/>
          <w:color w:val="auto"/>
          <w:kern w:val="2"/>
          <w:sz w:val="24"/>
          <w:szCs w:val="24"/>
          <w:lang w:eastAsia="en-AU"/>
          <w14:ligatures w14:val="standardContextual"/>
        </w:rPr>
      </w:pPr>
      <w:r>
        <w:t>4</w:t>
      </w:r>
      <w:r>
        <w:rPr>
          <w:rFonts w:eastAsiaTheme="minorEastAsia"/>
          <w:caps w:val="0"/>
          <w:color w:val="auto"/>
          <w:kern w:val="2"/>
          <w:sz w:val="24"/>
          <w:szCs w:val="24"/>
          <w:lang w:eastAsia="en-AU"/>
          <w14:ligatures w14:val="standardContextual"/>
        </w:rPr>
        <w:tab/>
      </w:r>
      <w:r>
        <w:t>Coastal Assets and Community Values Identification</w:t>
      </w:r>
      <w:r>
        <w:tab/>
      </w:r>
      <w:r>
        <w:fldChar w:fldCharType="begin"/>
      </w:r>
      <w:r>
        <w:instrText xml:space="preserve"> PAGEREF _Toc164420867 \h </w:instrText>
      </w:r>
      <w:r>
        <w:fldChar w:fldCharType="separate"/>
      </w:r>
      <w:r>
        <w:t>22</w:t>
      </w:r>
      <w:r>
        <w:fldChar w:fldCharType="end"/>
      </w:r>
    </w:p>
    <w:p w14:paraId="3D8D922C" w14:textId="35B057F9" w:rsidR="00615155" w:rsidRDefault="00615155">
      <w:pPr>
        <w:pStyle w:val="TOC5"/>
        <w:rPr>
          <w:rFonts w:eastAsiaTheme="minorEastAsia"/>
          <w:color w:val="auto"/>
          <w:kern w:val="2"/>
          <w:sz w:val="24"/>
          <w:szCs w:val="24"/>
          <w:lang w:eastAsia="en-AU"/>
          <w14:ligatures w14:val="standardContextual"/>
        </w:rPr>
      </w:pPr>
      <w:r>
        <w:t>4.1</w:t>
      </w:r>
      <w:r>
        <w:rPr>
          <w:rFonts w:eastAsiaTheme="minorEastAsia"/>
          <w:color w:val="auto"/>
          <w:kern w:val="2"/>
          <w:sz w:val="24"/>
          <w:szCs w:val="24"/>
          <w:lang w:eastAsia="en-AU"/>
          <w14:ligatures w14:val="standardContextual"/>
        </w:rPr>
        <w:tab/>
      </w:r>
      <w:r>
        <w:t>Asset Identification</w:t>
      </w:r>
      <w:r>
        <w:tab/>
      </w:r>
      <w:r>
        <w:fldChar w:fldCharType="begin"/>
      </w:r>
      <w:r>
        <w:instrText xml:space="preserve"> PAGEREF _Toc164420868 \h </w:instrText>
      </w:r>
      <w:r>
        <w:fldChar w:fldCharType="separate"/>
      </w:r>
      <w:r>
        <w:t>22</w:t>
      </w:r>
      <w:r>
        <w:fldChar w:fldCharType="end"/>
      </w:r>
    </w:p>
    <w:p w14:paraId="7B2D833D" w14:textId="28226680" w:rsidR="00615155" w:rsidRDefault="00615155">
      <w:pPr>
        <w:pStyle w:val="TOC5"/>
        <w:rPr>
          <w:rFonts w:eastAsiaTheme="minorEastAsia"/>
          <w:color w:val="auto"/>
          <w:kern w:val="2"/>
          <w:sz w:val="24"/>
          <w:szCs w:val="24"/>
          <w:lang w:eastAsia="en-AU"/>
          <w14:ligatures w14:val="standardContextual"/>
        </w:rPr>
      </w:pPr>
      <w:r>
        <w:t>4.2</w:t>
      </w:r>
      <w:r>
        <w:rPr>
          <w:rFonts w:eastAsiaTheme="minorEastAsia"/>
          <w:color w:val="auto"/>
          <w:kern w:val="2"/>
          <w:sz w:val="24"/>
          <w:szCs w:val="24"/>
          <w:lang w:eastAsia="en-AU"/>
          <w14:ligatures w14:val="standardContextual"/>
        </w:rPr>
        <w:tab/>
      </w:r>
      <w:r>
        <w:t>Asset Classifications</w:t>
      </w:r>
      <w:r>
        <w:tab/>
      </w:r>
      <w:r>
        <w:fldChar w:fldCharType="begin"/>
      </w:r>
      <w:r>
        <w:instrText xml:space="preserve"> PAGEREF _Toc164420869 \h </w:instrText>
      </w:r>
      <w:r>
        <w:fldChar w:fldCharType="separate"/>
      </w:r>
      <w:r>
        <w:t>22</w:t>
      </w:r>
      <w:r>
        <w:fldChar w:fldCharType="end"/>
      </w:r>
    </w:p>
    <w:p w14:paraId="1C10B286" w14:textId="02A45DE5" w:rsidR="00615155" w:rsidRDefault="00615155">
      <w:pPr>
        <w:pStyle w:val="TOC5"/>
        <w:rPr>
          <w:rFonts w:eastAsiaTheme="minorEastAsia"/>
          <w:color w:val="auto"/>
          <w:kern w:val="2"/>
          <w:sz w:val="24"/>
          <w:szCs w:val="24"/>
          <w:lang w:eastAsia="en-AU"/>
          <w14:ligatures w14:val="standardContextual"/>
        </w:rPr>
      </w:pPr>
      <w:r>
        <w:t>4.3</w:t>
      </w:r>
      <w:r>
        <w:rPr>
          <w:rFonts w:eastAsiaTheme="minorEastAsia"/>
          <w:color w:val="auto"/>
          <w:kern w:val="2"/>
          <w:sz w:val="24"/>
          <w:szCs w:val="24"/>
          <w:lang w:eastAsia="en-AU"/>
          <w14:ligatures w14:val="standardContextual"/>
        </w:rPr>
        <w:tab/>
      </w:r>
      <w:r>
        <w:t>Community Values Engagement Process</w:t>
      </w:r>
      <w:r>
        <w:tab/>
      </w:r>
      <w:r>
        <w:fldChar w:fldCharType="begin"/>
      </w:r>
      <w:r>
        <w:instrText xml:space="preserve"> PAGEREF _Toc164420870 \h </w:instrText>
      </w:r>
      <w:r>
        <w:fldChar w:fldCharType="separate"/>
      </w:r>
      <w:r>
        <w:t>23</w:t>
      </w:r>
      <w:r>
        <w:fldChar w:fldCharType="end"/>
      </w:r>
    </w:p>
    <w:p w14:paraId="479D7FCB" w14:textId="1AA9D3AF" w:rsidR="00615155" w:rsidRDefault="00615155">
      <w:pPr>
        <w:pStyle w:val="TOC5"/>
        <w:rPr>
          <w:rFonts w:eastAsiaTheme="minorEastAsia"/>
          <w:color w:val="auto"/>
          <w:kern w:val="2"/>
          <w:sz w:val="24"/>
          <w:szCs w:val="24"/>
          <w:lang w:eastAsia="en-AU"/>
          <w14:ligatures w14:val="standardContextual"/>
        </w:rPr>
      </w:pPr>
      <w:r>
        <w:t>4.4</w:t>
      </w:r>
      <w:r>
        <w:rPr>
          <w:rFonts w:eastAsiaTheme="minorEastAsia"/>
          <w:color w:val="auto"/>
          <w:kern w:val="2"/>
          <w:sz w:val="24"/>
          <w:szCs w:val="24"/>
          <w:lang w:eastAsia="en-AU"/>
          <w14:ligatures w14:val="standardContextual"/>
        </w:rPr>
        <w:tab/>
      </w:r>
      <w:r>
        <w:t>Coastal Assets and Community Values</w:t>
      </w:r>
      <w:r>
        <w:tab/>
      </w:r>
      <w:r>
        <w:fldChar w:fldCharType="begin"/>
      </w:r>
      <w:r>
        <w:instrText xml:space="preserve"> PAGEREF _Toc164420871 \h </w:instrText>
      </w:r>
      <w:r>
        <w:fldChar w:fldCharType="separate"/>
      </w:r>
      <w:r>
        <w:t>23</w:t>
      </w:r>
      <w:r>
        <w:fldChar w:fldCharType="end"/>
      </w:r>
    </w:p>
    <w:p w14:paraId="003C62AC" w14:textId="361C1605" w:rsidR="00615155" w:rsidRDefault="00615155">
      <w:pPr>
        <w:pStyle w:val="TOC5"/>
        <w:rPr>
          <w:rFonts w:eastAsiaTheme="minorEastAsia"/>
          <w:color w:val="auto"/>
          <w:kern w:val="2"/>
          <w:sz w:val="24"/>
          <w:szCs w:val="24"/>
          <w:lang w:eastAsia="en-AU"/>
          <w14:ligatures w14:val="standardContextual"/>
        </w:rPr>
      </w:pPr>
      <w:r>
        <w:t>4.5</w:t>
      </w:r>
      <w:r>
        <w:rPr>
          <w:rFonts w:eastAsiaTheme="minorEastAsia"/>
          <w:color w:val="auto"/>
          <w:kern w:val="2"/>
          <w:sz w:val="24"/>
          <w:szCs w:val="24"/>
          <w:lang w:eastAsia="en-AU"/>
          <w14:ligatures w14:val="standardContextual"/>
        </w:rPr>
        <w:tab/>
      </w:r>
      <w:r>
        <w:t>Success Criteria</w:t>
      </w:r>
      <w:r>
        <w:tab/>
      </w:r>
      <w:r>
        <w:fldChar w:fldCharType="begin"/>
      </w:r>
      <w:r>
        <w:instrText xml:space="preserve"> PAGEREF _Toc164420872 \h </w:instrText>
      </w:r>
      <w:r>
        <w:fldChar w:fldCharType="separate"/>
      </w:r>
      <w:r>
        <w:t>24</w:t>
      </w:r>
      <w:r>
        <w:fldChar w:fldCharType="end"/>
      </w:r>
    </w:p>
    <w:p w14:paraId="27A1FE62" w14:textId="522D29CB" w:rsidR="00615155" w:rsidRDefault="00615155">
      <w:pPr>
        <w:pStyle w:val="TOC4"/>
        <w:rPr>
          <w:rFonts w:eastAsiaTheme="minorEastAsia"/>
          <w:caps w:val="0"/>
          <w:color w:val="auto"/>
          <w:kern w:val="2"/>
          <w:sz w:val="24"/>
          <w:szCs w:val="24"/>
          <w:lang w:eastAsia="en-AU"/>
          <w14:ligatures w14:val="standardContextual"/>
        </w:rPr>
      </w:pPr>
      <w:r>
        <w:t>5</w:t>
      </w:r>
      <w:r>
        <w:rPr>
          <w:rFonts w:eastAsiaTheme="minorEastAsia"/>
          <w:caps w:val="0"/>
          <w:color w:val="auto"/>
          <w:kern w:val="2"/>
          <w:sz w:val="24"/>
          <w:szCs w:val="24"/>
          <w:lang w:eastAsia="en-AU"/>
          <w14:ligatures w14:val="standardContextual"/>
        </w:rPr>
        <w:tab/>
      </w:r>
      <w:r>
        <w:t>Vulnerability Analysis</w:t>
      </w:r>
      <w:r>
        <w:tab/>
      </w:r>
      <w:r>
        <w:fldChar w:fldCharType="begin"/>
      </w:r>
      <w:r>
        <w:instrText xml:space="preserve"> PAGEREF _Toc164420873 \h </w:instrText>
      </w:r>
      <w:r>
        <w:fldChar w:fldCharType="separate"/>
      </w:r>
      <w:r>
        <w:t>25</w:t>
      </w:r>
      <w:r>
        <w:fldChar w:fldCharType="end"/>
      </w:r>
    </w:p>
    <w:p w14:paraId="0CA8BB4A" w14:textId="7A3E50B3" w:rsidR="00615155" w:rsidRDefault="00615155">
      <w:pPr>
        <w:pStyle w:val="TOC5"/>
        <w:rPr>
          <w:rFonts w:eastAsiaTheme="minorEastAsia"/>
          <w:color w:val="auto"/>
          <w:kern w:val="2"/>
          <w:sz w:val="24"/>
          <w:szCs w:val="24"/>
          <w:lang w:eastAsia="en-AU"/>
          <w14:ligatures w14:val="standardContextual"/>
        </w:rPr>
      </w:pPr>
      <w:r>
        <w:t>5.1</w:t>
      </w:r>
      <w:r>
        <w:rPr>
          <w:rFonts w:eastAsiaTheme="minorEastAsia"/>
          <w:color w:val="auto"/>
          <w:kern w:val="2"/>
          <w:sz w:val="24"/>
          <w:szCs w:val="24"/>
          <w:lang w:eastAsia="en-AU"/>
          <w14:ligatures w14:val="standardContextual"/>
        </w:rPr>
        <w:tab/>
      </w:r>
      <w:r>
        <w:t>Method</w:t>
      </w:r>
      <w:r>
        <w:tab/>
      </w:r>
      <w:r>
        <w:fldChar w:fldCharType="begin"/>
      </w:r>
      <w:r>
        <w:instrText xml:space="preserve"> PAGEREF _Toc164420874 \h </w:instrText>
      </w:r>
      <w:r>
        <w:fldChar w:fldCharType="separate"/>
      </w:r>
      <w:r>
        <w:t>25</w:t>
      </w:r>
      <w:r>
        <w:fldChar w:fldCharType="end"/>
      </w:r>
    </w:p>
    <w:p w14:paraId="4025C4E6" w14:textId="21B0A641" w:rsidR="00615155" w:rsidRDefault="00615155">
      <w:pPr>
        <w:pStyle w:val="TOC5"/>
        <w:rPr>
          <w:rFonts w:eastAsiaTheme="minorEastAsia"/>
          <w:color w:val="auto"/>
          <w:kern w:val="2"/>
          <w:sz w:val="24"/>
          <w:szCs w:val="24"/>
          <w:lang w:eastAsia="en-AU"/>
          <w14:ligatures w14:val="standardContextual"/>
        </w:rPr>
      </w:pPr>
      <w:r>
        <w:t>5.2</w:t>
      </w:r>
      <w:r>
        <w:rPr>
          <w:rFonts w:eastAsiaTheme="minorEastAsia"/>
          <w:color w:val="auto"/>
          <w:kern w:val="2"/>
          <w:sz w:val="24"/>
          <w:szCs w:val="24"/>
          <w:lang w:eastAsia="en-AU"/>
          <w14:ligatures w14:val="standardContextual"/>
        </w:rPr>
        <w:tab/>
      </w:r>
      <w:r>
        <w:t>Identification of Assets</w:t>
      </w:r>
      <w:r>
        <w:tab/>
      </w:r>
      <w:r>
        <w:fldChar w:fldCharType="begin"/>
      </w:r>
      <w:r>
        <w:instrText xml:space="preserve"> PAGEREF _Toc164420875 \h </w:instrText>
      </w:r>
      <w:r>
        <w:fldChar w:fldCharType="separate"/>
      </w:r>
      <w:r>
        <w:t>25</w:t>
      </w:r>
      <w:r>
        <w:fldChar w:fldCharType="end"/>
      </w:r>
    </w:p>
    <w:p w14:paraId="03FF7C2E" w14:textId="339C89DB" w:rsidR="00615155" w:rsidRDefault="00615155">
      <w:pPr>
        <w:pStyle w:val="TOC5"/>
        <w:rPr>
          <w:rFonts w:eastAsiaTheme="minorEastAsia"/>
          <w:color w:val="auto"/>
          <w:kern w:val="2"/>
          <w:sz w:val="24"/>
          <w:szCs w:val="24"/>
          <w:lang w:eastAsia="en-AU"/>
          <w14:ligatures w14:val="standardContextual"/>
        </w:rPr>
      </w:pPr>
      <w:r>
        <w:t>5.3</w:t>
      </w:r>
      <w:r>
        <w:rPr>
          <w:rFonts w:eastAsiaTheme="minorEastAsia"/>
          <w:color w:val="auto"/>
          <w:kern w:val="2"/>
          <w:sz w:val="24"/>
          <w:szCs w:val="24"/>
          <w:lang w:eastAsia="en-AU"/>
          <w14:ligatures w14:val="standardContextual"/>
        </w:rPr>
        <w:tab/>
      </w:r>
      <w:r>
        <w:t>Exposure / Likelihood</w:t>
      </w:r>
      <w:r>
        <w:tab/>
      </w:r>
      <w:r>
        <w:fldChar w:fldCharType="begin"/>
      </w:r>
      <w:r>
        <w:instrText xml:space="preserve"> PAGEREF _Toc164420876 \h </w:instrText>
      </w:r>
      <w:r>
        <w:fldChar w:fldCharType="separate"/>
      </w:r>
      <w:r>
        <w:t>25</w:t>
      </w:r>
      <w:r>
        <w:fldChar w:fldCharType="end"/>
      </w:r>
    </w:p>
    <w:p w14:paraId="7B4BB544" w14:textId="1D54BA70" w:rsidR="00615155" w:rsidRDefault="00615155">
      <w:pPr>
        <w:pStyle w:val="TOC5"/>
        <w:rPr>
          <w:rFonts w:eastAsiaTheme="minorEastAsia"/>
          <w:color w:val="auto"/>
          <w:kern w:val="2"/>
          <w:sz w:val="24"/>
          <w:szCs w:val="24"/>
          <w:lang w:eastAsia="en-AU"/>
          <w14:ligatures w14:val="standardContextual"/>
        </w:rPr>
      </w:pPr>
      <w:r>
        <w:t>5.4</w:t>
      </w:r>
      <w:r>
        <w:rPr>
          <w:rFonts w:eastAsiaTheme="minorEastAsia"/>
          <w:color w:val="auto"/>
          <w:kern w:val="2"/>
          <w:sz w:val="24"/>
          <w:szCs w:val="24"/>
          <w:lang w:eastAsia="en-AU"/>
          <w14:ligatures w14:val="standardContextual"/>
        </w:rPr>
        <w:tab/>
      </w:r>
      <w:r>
        <w:t>Sensitivity / Consequence</w:t>
      </w:r>
      <w:r>
        <w:tab/>
      </w:r>
      <w:r>
        <w:fldChar w:fldCharType="begin"/>
      </w:r>
      <w:r>
        <w:instrText xml:space="preserve"> PAGEREF _Toc164420877 \h </w:instrText>
      </w:r>
      <w:r>
        <w:fldChar w:fldCharType="separate"/>
      </w:r>
      <w:r>
        <w:t>26</w:t>
      </w:r>
      <w:r>
        <w:fldChar w:fldCharType="end"/>
      </w:r>
    </w:p>
    <w:p w14:paraId="2275F9A0" w14:textId="775D063B" w:rsidR="00615155" w:rsidRDefault="00615155">
      <w:pPr>
        <w:pStyle w:val="TOC5"/>
        <w:rPr>
          <w:rFonts w:eastAsiaTheme="minorEastAsia"/>
          <w:color w:val="auto"/>
          <w:kern w:val="2"/>
          <w:sz w:val="24"/>
          <w:szCs w:val="24"/>
          <w:lang w:eastAsia="en-AU"/>
          <w14:ligatures w14:val="standardContextual"/>
        </w:rPr>
      </w:pPr>
      <w:r>
        <w:t>5.5</w:t>
      </w:r>
      <w:r>
        <w:rPr>
          <w:rFonts w:eastAsiaTheme="minorEastAsia"/>
          <w:color w:val="auto"/>
          <w:kern w:val="2"/>
          <w:sz w:val="24"/>
          <w:szCs w:val="24"/>
          <w:lang w:eastAsia="en-AU"/>
          <w14:ligatures w14:val="standardContextual"/>
        </w:rPr>
        <w:tab/>
      </w:r>
      <w:r>
        <w:t>Potential Impact (Level of Risk)</w:t>
      </w:r>
      <w:r>
        <w:tab/>
      </w:r>
      <w:r>
        <w:fldChar w:fldCharType="begin"/>
      </w:r>
      <w:r>
        <w:instrText xml:space="preserve"> PAGEREF _Toc164420878 \h </w:instrText>
      </w:r>
      <w:r>
        <w:fldChar w:fldCharType="separate"/>
      </w:r>
      <w:r>
        <w:t>27</w:t>
      </w:r>
      <w:r>
        <w:fldChar w:fldCharType="end"/>
      </w:r>
    </w:p>
    <w:p w14:paraId="22F635C9" w14:textId="1A115DAE" w:rsidR="00615155" w:rsidRDefault="00615155">
      <w:pPr>
        <w:pStyle w:val="TOC5"/>
        <w:rPr>
          <w:rFonts w:eastAsiaTheme="minorEastAsia"/>
          <w:color w:val="auto"/>
          <w:kern w:val="2"/>
          <w:sz w:val="24"/>
          <w:szCs w:val="24"/>
          <w:lang w:eastAsia="en-AU"/>
          <w14:ligatures w14:val="standardContextual"/>
        </w:rPr>
      </w:pPr>
      <w:r>
        <w:t>5.6</w:t>
      </w:r>
      <w:r>
        <w:rPr>
          <w:rFonts w:eastAsiaTheme="minorEastAsia"/>
          <w:color w:val="auto"/>
          <w:kern w:val="2"/>
          <w:sz w:val="24"/>
          <w:szCs w:val="24"/>
          <w:lang w:eastAsia="en-AU"/>
          <w14:ligatures w14:val="standardContextual"/>
        </w:rPr>
        <w:tab/>
      </w:r>
      <w:r>
        <w:t>Adaptive Capacity</w:t>
      </w:r>
      <w:r>
        <w:tab/>
      </w:r>
      <w:r>
        <w:fldChar w:fldCharType="begin"/>
      </w:r>
      <w:r>
        <w:instrText xml:space="preserve"> PAGEREF _Toc164420879 \h </w:instrText>
      </w:r>
      <w:r>
        <w:fldChar w:fldCharType="separate"/>
      </w:r>
      <w:r>
        <w:t>28</w:t>
      </w:r>
      <w:r>
        <w:fldChar w:fldCharType="end"/>
      </w:r>
    </w:p>
    <w:p w14:paraId="5A7A1E82" w14:textId="4A24012B" w:rsidR="00615155" w:rsidRDefault="00615155">
      <w:pPr>
        <w:pStyle w:val="TOC5"/>
        <w:rPr>
          <w:rFonts w:eastAsiaTheme="minorEastAsia"/>
          <w:color w:val="auto"/>
          <w:kern w:val="2"/>
          <w:sz w:val="24"/>
          <w:szCs w:val="24"/>
          <w:lang w:eastAsia="en-AU"/>
          <w14:ligatures w14:val="standardContextual"/>
        </w:rPr>
      </w:pPr>
      <w:r>
        <w:t>5.7</w:t>
      </w:r>
      <w:r>
        <w:rPr>
          <w:rFonts w:eastAsiaTheme="minorEastAsia"/>
          <w:color w:val="auto"/>
          <w:kern w:val="2"/>
          <w:sz w:val="24"/>
          <w:szCs w:val="24"/>
          <w:lang w:eastAsia="en-AU"/>
          <w14:ligatures w14:val="standardContextual"/>
        </w:rPr>
        <w:tab/>
      </w:r>
      <w:r>
        <w:t>Vulnerability Ratings</w:t>
      </w:r>
      <w:r>
        <w:tab/>
      </w:r>
      <w:r>
        <w:fldChar w:fldCharType="begin"/>
      </w:r>
      <w:r>
        <w:instrText xml:space="preserve"> PAGEREF _Toc164420880 \h </w:instrText>
      </w:r>
      <w:r>
        <w:fldChar w:fldCharType="separate"/>
      </w:r>
      <w:r>
        <w:t>28</w:t>
      </w:r>
      <w:r>
        <w:fldChar w:fldCharType="end"/>
      </w:r>
    </w:p>
    <w:p w14:paraId="19F14DCD" w14:textId="7372F9F3" w:rsidR="00615155" w:rsidRDefault="00615155">
      <w:pPr>
        <w:pStyle w:val="TOC4"/>
        <w:rPr>
          <w:rFonts w:eastAsiaTheme="minorEastAsia"/>
          <w:caps w:val="0"/>
          <w:color w:val="auto"/>
          <w:kern w:val="2"/>
          <w:sz w:val="24"/>
          <w:szCs w:val="24"/>
          <w:lang w:eastAsia="en-AU"/>
          <w14:ligatures w14:val="standardContextual"/>
        </w:rPr>
      </w:pPr>
      <w:r>
        <w:t>6</w:t>
      </w:r>
      <w:r>
        <w:rPr>
          <w:rFonts w:eastAsiaTheme="minorEastAsia"/>
          <w:caps w:val="0"/>
          <w:color w:val="auto"/>
          <w:kern w:val="2"/>
          <w:sz w:val="24"/>
          <w:szCs w:val="24"/>
          <w:lang w:eastAsia="en-AU"/>
          <w14:ligatures w14:val="standardContextual"/>
        </w:rPr>
        <w:tab/>
      </w:r>
      <w:r>
        <w:t>Risk Evaluation and Treatment</w:t>
      </w:r>
      <w:r>
        <w:tab/>
      </w:r>
      <w:r>
        <w:fldChar w:fldCharType="begin"/>
      </w:r>
      <w:r>
        <w:instrText xml:space="preserve"> PAGEREF _Toc164420881 \h </w:instrText>
      </w:r>
      <w:r>
        <w:fldChar w:fldCharType="separate"/>
      </w:r>
      <w:r>
        <w:t>33</w:t>
      </w:r>
      <w:r>
        <w:fldChar w:fldCharType="end"/>
      </w:r>
    </w:p>
    <w:p w14:paraId="59426C84" w14:textId="7CAF3A5E" w:rsidR="00615155" w:rsidRDefault="00615155">
      <w:pPr>
        <w:pStyle w:val="TOC5"/>
        <w:rPr>
          <w:rFonts w:eastAsiaTheme="minorEastAsia"/>
          <w:color w:val="auto"/>
          <w:kern w:val="2"/>
          <w:sz w:val="24"/>
          <w:szCs w:val="24"/>
          <w:lang w:eastAsia="en-AU"/>
          <w14:ligatures w14:val="standardContextual"/>
        </w:rPr>
      </w:pPr>
      <w:r>
        <w:t>6.1</w:t>
      </w:r>
      <w:r>
        <w:rPr>
          <w:rFonts w:eastAsiaTheme="minorEastAsia"/>
          <w:color w:val="auto"/>
          <w:kern w:val="2"/>
          <w:sz w:val="24"/>
          <w:szCs w:val="24"/>
          <w:lang w:eastAsia="en-AU"/>
          <w14:ligatures w14:val="standardContextual"/>
        </w:rPr>
        <w:tab/>
      </w:r>
      <w:r>
        <w:t>Risk Evaluation - Priorities for Treatment</w:t>
      </w:r>
      <w:r>
        <w:tab/>
      </w:r>
      <w:r>
        <w:fldChar w:fldCharType="begin"/>
      </w:r>
      <w:r>
        <w:instrText xml:space="preserve"> PAGEREF _Toc164420882 \h </w:instrText>
      </w:r>
      <w:r>
        <w:fldChar w:fldCharType="separate"/>
      </w:r>
      <w:r>
        <w:t>33</w:t>
      </w:r>
      <w:r>
        <w:fldChar w:fldCharType="end"/>
      </w:r>
    </w:p>
    <w:p w14:paraId="6449E2E3" w14:textId="31A3ABB0" w:rsidR="00615155" w:rsidRDefault="00615155">
      <w:pPr>
        <w:pStyle w:val="TOC5"/>
        <w:rPr>
          <w:rFonts w:eastAsiaTheme="minorEastAsia"/>
          <w:color w:val="auto"/>
          <w:kern w:val="2"/>
          <w:sz w:val="24"/>
          <w:szCs w:val="24"/>
          <w:lang w:eastAsia="en-AU"/>
          <w14:ligatures w14:val="standardContextual"/>
        </w:rPr>
      </w:pPr>
      <w:r>
        <w:t>6.2</w:t>
      </w:r>
      <w:r>
        <w:rPr>
          <w:rFonts w:eastAsiaTheme="minorEastAsia"/>
          <w:color w:val="auto"/>
          <w:kern w:val="2"/>
          <w:sz w:val="24"/>
          <w:szCs w:val="24"/>
          <w:lang w:eastAsia="en-AU"/>
          <w14:ligatures w14:val="standardContextual"/>
        </w:rPr>
        <w:tab/>
      </w:r>
      <w:r>
        <w:t>Risk Management and Adaptation Hierarchy</w:t>
      </w:r>
      <w:r>
        <w:tab/>
      </w:r>
      <w:r>
        <w:fldChar w:fldCharType="begin"/>
      </w:r>
      <w:r>
        <w:instrText xml:space="preserve"> PAGEREF _Toc164420883 \h </w:instrText>
      </w:r>
      <w:r>
        <w:fldChar w:fldCharType="separate"/>
      </w:r>
      <w:r>
        <w:t>33</w:t>
      </w:r>
      <w:r>
        <w:fldChar w:fldCharType="end"/>
      </w:r>
    </w:p>
    <w:p w14:paraId="0191FDA1" w14:textId="060FEAAE" w:rsidR="00615155" w:rsidRDefault="00615155">
      <w:pPr>
        <w:pStyle w:val="TOC5"/>
        <w:rPr>
          <w:rFonts w:eastAsiaTheme="minorEastAsia"/>
          <w:color w:val="auto"/>
          <w:kern w:val="2"/>
          <w:sz w:val="24"/>
          <w:szCs w:val="24"/>
          <w:lang w:eastAsia="en-AU"/>
          <w14:ligatures w14:val="standardContextual"/>
        </w:rPr>
      </w:pPr>
      <w:r>
        <w:t>6.3</w:t>
      </w:r>
      <w:r>
        <w:rPr>
          <w:rFonts w:eastAsiaTheme="minorEastAsia"/>
          <w:color w:val="auto"/>
          <w:kern w:val="2"/>
          <w:sz w:val="24"/>
          <w:szCs w:val="24"/>
          <w:lang w:eastAsia="en-AU"/>
          <w14:ligatures w14:val="standardContextual"/>
        </w:rPr>
        <w:tab/>
      </w:r>
      <w:r>
        <w:t>Risk Treatment Options</w:t>
      </w:r>
      <w:r>
        <w:tab/>
      </w:r>
      <w:r>
        <w:fldChar w:fldCharType="begin"/>
      </w:r>
      <w:r>
        <w:instrText xml:space="preserve"> PAGEREF _Toc164420884 \h </w:instrText>
      </w:r>
      <w:r>
        <w:fldChar w:fldCharType="separate"/>
      </w:r>
      <w:r>
        <w:t>35</w:t>
      </w:r>
      <w:r>
        <w:fldChar w:fldCharType="end"/>
      </w:r>
    </w:p>
    <w:p w14:paraId="58BBB0D3" w14:textId="7E43AC31" w:rsidR="00615155" w:rsidRDefault="00615155">
      <w:pPr>
        <w:pStyle w:val="TOC5"/>
        <w:rPr>
          <w:rFonts w:eastAsiaTheme="minorEastAsia"/>
          <w:color w:val="auto"/>
          <w:kern w:val="2"/>
          <w:sz w:val="24"/>
          <w:szCs w:val="24"/>
          <w:lang w:eastAsia="en-AU"/>
          <w14:ligatures w14:val="standardContextual"/>
        </w:rPr>
      </w:pPr>
      <w:r>
        <w:t>6.4</w:t>
      </w:r>
      <w:r>
        <w:rPr>
          <w:rFonts w:eastAsiaTheme="minorEastAsia"/>
          <w:color w:val="auto"/>
          <w:kern w:val="2"/>
          <w:sz w:val="24"/>
          <w:szCs w:val="24"/>
          <w:lang w:eastAsia="en-AU"/>
          <w14:ligatures w14:val="standardContextual"/>
        </w:rPr>
        <w:tab/>
      </w:r>
      <w:r>
        <w:t>Multi-Criteria Analysis</w:t>
      </w:r>
      <w:r>
        <w:tab/>
      </w:r>
      <w:r>
        <w:fldChar w:fldCharType="begin"/>
      </w:r>
      <w:r>
        <w:instrText xml:space="preserve"> PAGEREF _Toc164420885 \h </w:instrText>
      </w:r>
      <w:r>
        <w:fldChar w:fldCharType="separate"/>
      </w:r>
      <w:r>
        <w:t>37</w:t>
      </w:r>
      <w:r>
        <w:fldChar w:fldCharType="end"/>
      </w:r>
    </w:p>
    <w:p w14:paraId="337B765B" w14:textId="4F94232F" w:rsidR="00615155" w:rsidRDefault="00615155">
      <w:pPr>
        <w:pStyle w:val="TOC4"/>
        <w:rPr>
          <w:rFonts w:eastAsiaTheme="minorEastAsia"/>
          <w:caps w:val="0"/>
          <w:color w:val="auto"/>
          <w:kern w:val="2"/>
          <w:sz w:val="24"/>
          <w:szCs w:val="24"/>
          <w:lang w:eastAsia="en-AU"/>
          <w14:ligatures w14:val="standardContextual"/>
        </w:rPr>
      </w:pPr>
      <w:r>
        <w:t>7</w:t>
      </w:r>
      <w:r>
        <w:rPr>
          <w:rFonts w:eastAsiaTheme="minorEastAsia"/>
          <w:caps w:val="0"/>
          <w:color w:val="auto"/>
          <w:kern w:val="2"/>
          <w:sz w:val="24"/>
          <w:szCs w:val="24"/>
          <w:lang w:eastAsia="en-AU"/>
          <w14:ligatures w14:val="standardContextual"/>
        </w:rPr>
        <w:tab/>
      </w:r>
      <w:r>
        <w:t>Risk Treatment Analysis</w:t>
      </w:r>
      <w:r>
        <w:tab/>
      </w:r>
      <w:r>
        <w:fldChar w:fldCharType="begin"/>
      </w:r>
      <w:r>
        <w:instrText xml:space="preserve"> PAGEREF _Toc164420886 \h </w:instrText>
      </w:r>
      <w:r>
        <w:fldChar w:fldCharType="separate"/>
      </w:r>
      <w:r>
        <w:t>39</w:t>
      </w:r>
      <w:r>
        <w:fldChar w:fldCharType="end"/>
      </w:r>
    </w:p>
    <w:p w14:paraId="22784EFC" w14:textId="72173BDC" w:rsidR="00615155" w:rsidRDefault="00615155">
      <w:pPr>
        <w:pStyle w:val="TOC5"/>
        <w:rPr>
          <w:rFonts w:eastAsiaTheme="minorEastAsia"/>
          <w:color w:val="auto"/>
          <w:kern w:val="2"/>
          <w:sz w:val="24"/>
          <w:szCs w:val="24"/>
          <w:lang w:eastAsia="en-AU"/>
          <w14:ligatures w14:val="standardContextual"/>
        </w:rPr>
      </w:pPr>
      <w:r>
        <w:t>7.1</w:t>
      </w:r>
      <w:r>
        <w:rPr>
          <w:rFonts w:eastAsiaTheme="minorEastAsia"/>
          <w:color w:val="auto"/>
          <w:kern w:val="2"/>
          <w:sz w:val="24"/>
          <w:szCs w:val="24"/>
          <w:lang w:eastAsia="en-AU"/>
          <w14:ligatures w14:val="standardContextual"/>
        </w:rPr>
        <w:tab/>
      </w:r>
      <w:r>
        <w:t>Cost Benefit Analysis</w:t>
      </w:r>
      <w:r>
        <w:tab/>
      </w:r>
      <w:r>
        <w:fldChar w:fldCharType="begin"/>
      </w:r>
      <w:r>
        <w:instrText xml:space="preserve"> PAGEREF _Toc164420887 \h </w:instrText>
      </w:r>
      <w:r>
        <w:fldChar w:fldCharType="separate"/>
      </w:r>
      <w:r>
        <w:t>39</w:t>
      </w:r>
      <w:r>
        <w:fldChar w:fldCharType="end"/>
      </w:r>
    </w:p>
    <w:p w14:paraId="7C7AEFC9" w14:textId="31956456"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7.1.1</w:t>
      </w:r>
      <w:r>
        <w:rPr>
          <w:rFonts w:eastAsiaTheme="minorEastAsia"/>
          <w:noProof/>
          <w:color w:val="auto"/>
          <w:kern w:val="2"/>
          <w:sz w:val="24"/>
          <w:szCs w:val="24"/>
          <w:lang w:eastAsia="en-AU"/>
          <w14:ligatures w14:val="standardContextual"/>
        </w:rPr>
        <w:tab/>
      </w:r>
      <w:r>
        <w:rPr>
          <w:noProof/>
        </w:rPr>
        <w:t>Approach</w:t>
      </w:r>
      <w:r>
        <w:rPr>
          <w:noProof/>
        </w:rPr>
        <w:tab/>
      </w:r>
      <w:r>
        <w:rPr>
          <w:noProof/>
        </w:rPr>
        <w:fldChar w:fldCharType="begin"/>
      </w:r>
      <w:r>
        <w:rPr>
          <w:noProof/>
        </w:rPr>
        <w:instrText xml:space="preserve"> PAGEREF _Toc164420888 \h </w:instrText>
      </w:r>
      <w:r>
        <w:rPr>
          <w:noProof/>
        </w:rPr>
      </w:r>
      <w:r>
        <w:rPr>
          <w:noProof/>
        </w:rPr>
        <w:fldChar w:fldCharType="separate"/>
      </w:r>
      <w:r>
        <w:rPr>
          <w:noProof/>
        </w:rPr>
        <w:t>39</w:t>
      </w:r>
      <w:r>
        <w:rPr>
          <w:noProof/>
        </w:rPr>
        <w:fldChar w:fldCharType="end"/>
      </w:r>
    </w:p>
    <w:p w14:paraId="134DF4D9" w14:textId="10A43973"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lastRenderedPageBreak/>
        <w:t>7.1.2</w:t>
      </w:r>
      <w:r>
        <w:rPr>
          <w:rFonts w:eastAsiaTheme="minorEastAsia"/>
          <w:noProof/>
          <w:color w:val="auto"/>
          <w:kern w:val="2"/>
          <w:sz w:val="24"/>
          <w:szCs w:val="24"/>
          <w:lang w:eastAsia="en-AU"/>
          <w14:ligatures w14:val="standardContextual"/>
        </w:rPr>
        <w:tab/>
      </w:r>
      <w:r>
        <w:rPr>
          <w:noProof/>
        </w:rPr>
        <w:t>Options Suitable for Cost-Benefit Analysis</w:t>
      </w:r>
      <w:r>
        <w:rPr>
          <w:noProof/>
        </w:rPr>
        <w:tab/>
      </w:r>
      <w:r>
        <w:rPr>
          <w:noProof/>
        </w:rPr>
        <w:fldChar w:fldCharType="begin"/>
      </w:r>
      <w:r>
        <w:rPr>
          <w:noProof/>
        </w:rPr>
        <w:instrText xml:space="preserve"> PAGEREF _Toc164420889 \h </w:instrText>
      </w:r>
      <w:r>
        <w:rPr>
          <w:noProof/>
        </w:rPr>
      </w:r>
      <w:r>
        <w:rPr>
          <w:noProof/>
        </w:rPr>
        <w:fldChar w:fldCharType="separate"/>
      </w:r>
      <w:r>
        <w:rPr>
          <w:noProof/>
        </w:rPr>
        <w:t>39</w:t>
      </w:r>
      <w:r>
        <w:rPr>
          <w:noProof/>
        </w:rPr>
        <w:fldChar w:fldCharType="end"/>
      </w:r>
    </w:p>
    <w:p w14:paraId="30B6E201" w14:textId="5C662D27"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7.1.3</w:t>
      </w:r>
      <w:r>
        <w:rPr>
          <w:rFonts w:eastAsiaTheme="minorEastAsia"/>
          <w:noProof/>
          <w:color w:val="auto"/>
          <w:kern w:val="2"/>
          <w:sz w:val="24"/>
          <w:szCs w:val="24"/>
          <w:lang w:eastAsia="en-AU"/>
          <w14:ligatures w14:val="standardContextual"/>
        </w:rPr>
        <w:tab/>
      </w:r>
      <w:r>
        <w:rPr>
          <w:noProof/>
        </w:rPr>
        <w:t>Other Options</w:t>
      </w:r>
      <w:r>
        <w:rPr>
          <w:noProof/>
        </w:rPr>
        <w:tab/>
      </w:r>
      <w:r>
        <w:rPr>
          <w:noProof/>
        </w:rPr>
        <w:fldChar w:fldCharType="begin"/>
      </w:r>
      <w:r>
        <w:rPr>
          <w:noProof/>
        </w:rPr>
        <w:instrText xml:space="preserve"> PAGEREF _Toc164420890 \h </w:instrText>
      </w:r>
      <w:r>
        <w:rPr>
          <w:noProof/>
        </w:rPr>
      </w:r>
      <w:r>
        <w:rPr>
          <w:noProof/>
        </w:rPr>
        <w:fldChar w:fldCharType="separate"/>
      </w:r>
      <w:r>
        <w:rPr>
          <w:noProof/>
        </w:rPr>
        <w:t>40</w:t>
      </w:r>
      <w:r>
        <w:rPr>
          <w:noProof/>
        </w:rPr>
        <w:fldChar w:fldCharType="end"/>
      </w:r>
    </w:p>
    <w:p w14:paraId="73090A8A" w14:textId="11907BAA"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7.1.4</w:t>
      </w:r>
      <w:r>
        <w:rPr>
          <w:rFonts w:eastAsiaTheme="minorEastAsia"/>
          <w:noProof/>
          <w:color w:val="auto"/>
          <w:kern w:val="2"/>
          <w:sz w:val="24"/>
          <w:szCs w:val="24"/>
          <w:lang w:eastAsia="en-AU"/>
          <w14:ligatures w14:val="standardContextual"/>
        </w:rPr>
        <w:tab/>
      </w:r>
      <w:r>
        <w:rPr>
          <w:noProof/>
        </w:rPr>
        <w:t>Cost Benefit Analysis Methodology</w:t>
      </w:r>
      <w:r>
        <w:rPr>
          <w:noProof/>
        </w:rPr>
        <w:tab/>
      </w:r>
      <w:r>
        <w:rPr>
          <w:noProof/>
        </w:rPr>
        <w:fldChar w:fldCharType="begin"/>
      </w:r>
      <w:r>
        <w:rPr>
          <w:noProof/>
        </w:rPr>
        <w:instrText xml:space="preserve"> PAGEREF _Toc164420891 \h </w:instrText>
      </w:r>
      <w:r>
        <w:rPr>
          <w:noProof/>
        </w:rPr>
      </w:r>
      <w:r>
        <w:rPr>
          <w:noProof/>
        </w:rPr>
        <w:fldChar w:fldCharType="separate"/>
      </w:r>
      <w:r>
        <w:rPr>
          <w:noProof/>
        </w:rPr>
        <w:t>40</w:t>
      </w:r>
      <w:r>
        <w:rPr>
          <w:noProof/>
        </w:rPr>
        <w:fldChar w:fldCharType="end"/>
      </w:r>
    </w:p>
    <w:p w14:paraId="3CE64998" w14:textId="76B95FF2"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7.1.5</w:t>
      </w:r>
      <w:r>
        <w:rPr>
          <w:rFonts w:eastAsiaTheme="minorEastAsia"/>
          <w:noProof/>
          <w:color w:val="auto"/>
          <w:kern w:val="2"/>
          <w:sz w:val="24"/>
          <w:szCs w:val="24"/>
          <w:lang w:eastAsia="en-AU"/>
          <w14:ligatures w14:val="standardContextual"/>
        </w:rPr>
        <w:tab/>
      </w:r>
      <w:r>
        <w:rPr>
          <w:noProof/>
        </w:rPr>
        <w:t>Recommended option(s) for further consideration for each MU</w:t>
      </w:r>
      <w:r>
        <w:rPr>
          <w:noProof/>
        </w:rPr>
        <w:tab/>
      </w:r>
      <w:r>
        <w:rPr>
          <w:noProof/>
        </w:rPr>
        <w:fldChar w:fldCharType="begin"/>
      </w:r>
      <w:r>
        <w:rPr>
          <w:noProof/>
        </w:rPr>
        <w:instrText xml:space="preserve"> PAGEREF _Toc164420892 \h </w:instrText>
      </w:r>
      <w:r>
        <w:rPr>
          <w:noProof/>
        </w:rPr>
      </w:r>
      <w:r>
        <w:rPr>
          <w:noProof/>
        </w:rPr>
        <w:fldChar w:fldCharType="separate"/>
      </w:r>
      <w:r>
        <w:rPr>
          <w:noProof/>
        </w:rPr>
        <w:t>40</w:t>
      </w:r>
      <w:r>
        <w:rPr>
          <w:noProof/>
        </w:rPr>
        <w:fldChar w:fldCharType="end"/>
      </w:r>
    </w:p>
    <w:p w14:paraId="69A210A0" w14:textId="3B737FF4" w:rsidR="00615155" w:rsidRDefault="00615155">
      <w:pPr>
        <w:pStyle w:val="TOC4"/>
        <w:rPr>
          <w:rFonts w:eastAsiaTheme="minorEastAsia"/>
          <w:caps w:val="0"/>
          <w:color w:val="auto"/>
          <w:kern w:val="2"/>
          <w:sz w:val="24"/>
          <w:szCs w:val="24"/>
          <w:lang w:eastAsia="en-AU"/>
          <w14:ligatures w14:val="standardContextual"/>
        </w:rPr>
      </w:pPr>
      <w:r>
        <w:t>8</w:t>
      </w:r>
      <w:r>
        <w:rPr>
          <w:rFonts w:eastAsiaTheme="minorEastAsia"/>
          <w:caps w:val="0"/>
          <w:color w:val="auto"/>
          <w:kern w:val="2"/>
          <w:sz w:val="24"/>
          <w:szCs w:val="24"/>
          <w:lang w:eastAsia="en-AU"/>
          <w14:ligatures w14:val="standardContextual"/>
        </w:rPr>
        <w:tab/>
      </w:r>
      <w:r>
        <w:t>Implementation</w:t>
      </w:r>
      <w:r>
        <w:tab/>
      </w:r>
      <w:r>
        <w:fldChar w:fldCharType="begin"/>
      </w:r>
      <w:r>
        <w:instrText xml:space="preserve"> PAGEREF _Toc164420893 \h </w:instrText>
      </w:r>
      <w:r>
        <w:fldChar w:fldCharType="separate"/>
      </w:r>
      <w:r>
        <w:t>43</w:t>
      </w:r>
      <w:r>
        <w:fldChar w:fldCharType="end"/>
      </w:r>
    </w:p>
    <w:p w14:paraId="0964C41D" w14:textId="42EE866A" w:rsidR="00615155" w:rsidRDefault="00615155">
      <w:pPr>
        <w:pStyle w:val="TOC5"/>
        <w:rPr>
          <w:rFonts w:eastAsiaTheme="minorEastAsia"/>
          <w:color w:val="auto"/>
          <w:kern w:val="2"/>
          <w:sz w:val="24"/>
          <w:szCs w:val="24"/>
          <w:lang w:eastAsia="en-AU"/>
          <w14:ligatures w14:val="standardContextual"/>
        </w:rPr>
      </w:pPr>
      <w:r>
        <w:t>8.1</w:t>
      </w:r>
      <w:r>
        <w:rPr>
          <w:rFonts w:eastAsiaTheme="minorEastAsia"/>
          <w:color w:val="auto"/>
          <w:kern w:val="2"/>
          <w:sz w:val="24"/>
          <w:szCs w:val="24"/>
          <w:lang w:eastAsia="en-AU"/>
          <w14:ligatures w14:val="standardContextual"/>
        </w:rPr>
        <w:tab/>
      </w:r>
      <w:r>
        <w:t>Implementation Strategy</w:t>
      </w:r>
      <w:r>
        <w:tab/>
      </w:r>
      <w:r>
        <w:fldChar w:fldCharType="begin"/>
      </w:r>
      <w:r>
        <w:instrText xml:space="preserve"> PAGEREF _Toc164420894 \h </w:instrText>
      </w:r>
      <w:r>
        <w:fldChar w:fldCharType="separate"/>
      </w:r>
      <w:r>
        <w:t>43</w:t>
      </w:r>
      <w:r>
        <w:fldChar w:fldCharType="end"/>
      </w:r>
    </w:p>
    <w:p w14:paraId="79C434EB" w14:textId="5E9DD58C" w:rsidR="00615155" w:rsidRDefault="00615155">
      <w:pPr>
        <w:pStyle w:val="TOC5"/>
        <w:rPr>
          <w:rFonts w:eastAsiaTheme="minorEastAsia"/>
          <w:color w:val="auto"/>
          <w:kern w:val="2"/>
          <w:sz w:val="24"/>
          <w:szCs w:val="24"/>
          <w:lang w:eastAsia="en-AU"/>
          <w14:ligatures w14:val="standardContextual"/>
        </w:rPr>
      </w:pPr>
      <w:r>
        <w:t>8.2</w:t>
      </w:r>
      <w:r>
        <w:rPr>
          <w:rFonts w:eastAsiaTheme="minorEastAsia"/>
          <w:color w:val="auto"/>
          <w:kern w:val="2"/>
          <w:sz w:val="24"/>
          <w:szCs w:val="24"/>
          <w:lang w:eastAsia="en-AU"/>
          <w14:ligatures w14:val="standardContextual"/>
        </w:rPr>
        <w:tab/>
      </w:r>
      <w:r>
        <w:t>Land Use Planning</w:t>
      </w:r>
      <w:r>
        <w:tab/>
      </w:r>
      <w:r>
        <w:fldChar w:fldCharType="begin"/>
      </w:r>
      <w:r>
        <w:instrText xml:space="preserve"> PAGEREF _Toc164420895 \h </w:instrText>
      </w:r>
      <w:r>
        <w:fldChar w:fldCharType="separate"/>
      </w:r>
      <w:r>
        <w:t>44</w:t>
      </w:r>
      <w:r>
        <w:fldChar w:fldCharType="end"/>
      </w:r>
    </w:p>
    <w:p w14:paraId="772F17E6" w14:textId="25C4EB5C"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8.2.1</w:t>
      </w:r>
      <w:r>
        <w:rPr>
          <w:rFonts w:eastAsiaTheme="minorEastAsia"/>
          <w:noProof/>
          <w:color w:val="auto"/>
          <w:kern w:val="2"/>
          <w:sz w:val="24"/>
          <w:szCs w:val="24"/>
          <w:lang w:eastAsia="en-AU"/>
          <w14:ligatures w14:val="standardContextual"/>
        </w:rPr>
        <w:tab/>
      </w:r>
      <w:r>
        <w:rPr>
          <w:noProof/>
        </w:rPr>
        <w:t>Statutory Planning Mechanisms</w:t>
      </w:r>
      <w:r>
        <w:rPr>
          <w:noProof/>
        </w:rPr>
        <w:tab/>
      </w:r>
      <w:r>
        <w:rPr>
          <w:noProof/>
        </w:rPr>
        <w:fldChar w:fldCharType="begin"/>
      </w:r>
      <w:r>
        <w:rPr>
          <w:noProof/>
        </w:rPr>
        <w:instrText xml:space="preserve"> PAGEREF _Toc164420896 \h </w:instrText>
      </w:r>
      <w:r>
        <w:rPr>
          <w:noProof/>
        </w:rPr>
      </w:r>
      <w:r>
        <w:rPr>
          <w:noProof/>
        </w:rPr>
        <w:fldChar w:fldCharType="separate"/>
      </w:r>
      <w:r>
        <w:rPr>
          <w:noProof/>
        </w:rPr>
        <w:t>44</w:t>
      </w:r>
      <w:r>
        <w:rPr>
          <w:noProof/>
        </w:rPr>
        <w:fldChar w:fldCharType="end"/>
      </w:r>
    </w:p>
    <w:p w14:paraId="64B4CE8F" w14:textId="00C52B1E"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8.2.2</w:t>
      </w:r>
      <w:r>
        <w:rPr>
          <w:rFonts w:eastAsiaTheme="minorEastAsia"/>
          <w:noProof/>
          <w:color w:val="auto"/>
          <w:kern w:val="2"/>
          <w:sz w:val="24"/>
          <w:szCs w:val="24"/>
          <w:lang w:eastAsia="en-AU"/>
          <w14:ligatures w14:val="standardContextual"/>
        </w:rPr>
        <w:tab/>
      </w:r>
      <w:r>
        <w:rPr>
          <w:noProof/>
        </w:rPr>
        <w:t>Recommended Planning Controls</w:t>
      </w:r>
      <w:r>
        <w:rPr>
          <w:noProof/>
        </w:rPr>
        <w:tab/>
      </w:r>
      <w:r>
        <w:rPr>
          <w:noProof/>
        </w:rPr>
        <w:fldChar w:fldCharType="begin"/>
      </w:r>
      <w:r>
        <w:rPr>
          <w:noProof/>
        </w:rPr>
        <w:instrText xml:space="preserve"> PAGEREF _Toc164420897 \h </w:instrText>
      </w:r>
      <w:r>
        <w:rPr>
          <w:noProof/>
        </w:rPr>
      </w:r>
      <w:r>
        <w:rPr>
          <w:noProof/>
        </w:rPr>
        <w:fldChar w:fldCharType="separate"/>
      </w:r>
      <w:r>
        <w:rPr>
          <w:noProof/>
        </w:rPr>
        <w:t>45</w:t>
      </w:r>
      <w:r>
        <w:rPr>
          <w:noProof/>
        </w:rPr>
        <w:fldChar w:fldCharType="end"/>
      </w:r>
    </w:p>
    <w:p w14:paraId="07653578" w14:textId="3AEF32E7"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8.2.3</w:t>
      </w:r>
      <w:r>
        <w:rPr>
          <w:rFonts w:eastAsiaTheme="minorEastAsia"/>
          <w:noProof/>
          <w:color w:val="auto"/>
          <w:kern w:val="2"/>
          <w:sz w:val="24"/>
          <w:szCs w:val="24"/>
          <w:lang w:eastAsia="en-AU"/>
          <w14:ligatures w14:val="standardContextual"/>
        </w:rPr>
        <w:tab/>
      </w:r>
      <w:r>
        <w:rPr>
          <w:noProof/>
        </w:rPr>
        <w:t>Management Requirements</w:t>
      </w:r>
      <w:r>
        <w:rPr>
          <w:noProof/>
        </w:rPr>
        <w:tab/>
      </w:r>
      <w:r>
        <w:rPr>
          <w:noProof/>
        </w:rPr>
        <w:fldChar w:fldCharType="begin"/>
      </w:r>
      <w:r>
        <w:rPr>
          <w:noProof/>
        </w:rPr>
        <w:instrText xml:space="preserve"> PAGEREF _Toc164421006 \h </w:instrText>
      </w:r>
      <w:r>
        <w:rPr>
          <w:noProof/>
        </w:rPr>
      </w:r>
      <w:r>
        <w:rPr>
          <w:noProof/>
        </w:rPr>
        <w:fldChar w:fldCharType="separate"/>
      </w:r>
      <w:r>
        <w:rPr>
          <w:noProof/>
        </w:rPr>
        <w:t>48</w:t>
      </w:r>
      <w:r>
        <w:rPr>
          <w:noProof/>
        </w:rPr>
        <w:fldChar w:fldCharType="end"/>
      </w:r>
    </w:p>
    <w:p w14:paraId="50C0F730" w14:textId="46CD347B" w:rsidR="00615155" w:rsidRDefault="00615155">
      <w:pPr>
        <w:pStyle w:val="TOC5"/>
        <w:rPr>
          <w:rFonts w:eastAsiaTheme="minorEastAsia"/>
          <w:color w:val="auto"/>
          <w:kern w:val="2"/>
          <w:sz w:val="24"/>
          <w:szCs w:val="24"/>
          <w:lang w:eastAsia="en-AU"/>
          <w14:ligatures w14:val="standardContextual"/>
        </w:rPr>
      </w:pPr>
      <w:r>
        <w:t>8.3</w:t>
      </w:r>
      <w:r>
        <w:rPr>
          <w:rFonts w:eastAsiaTheme="minorEastAsia"/>
          <w:color w:val="auto"/>
          <w:kern w:val="2"/>
          <w:sz w:val="24"/>
          <w:szCs w:val="24"/>
          <w:lang w:eastAsia="en-AU"/>
          <w14:ligatures w14:val="standardContextual"/>
        </w:rPr>
        <w:tab/>
      </w:r>
      <w:r>
        <w:t>Funding Options</w:t>
      </w:r>
      <w:r>
        <w:tab/>
      </w:r>
      <w:r>
        <w:fldChar w:fldCharType="begin"/>
      </w:r>
      <w:r>
        <w:instrText xml:space="preserve"> PAGEREF _Toc164421007 \h </w:instrText>
      </w:r>
      <w:r>
        <w:fldChar w:fldCharType="separate"/>
      </w:r>
      <w:r>
        <w:t>49</w:t>
      </w:r>
      <w:r>
        <w:fldChar w:fldCharType="end"/>
      </w:r>
    </w:p>
    <w:p w14:paraId="15D7C7EE" w14:textId="4971C886"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8.3.1</w:t>
      </w:r>
      <w:r>
        <w:rPr>
          <w:rFonts w:eastAsiaTheme="minorEastAsia"/>
          <w:noProof/>
          <w:color w:val="auto"/>
          <w:kern w:val="2"/>
          <w:sz w:val="24"/>
          <w:szCs w:val="24"/>
          <w:lang w:eastAsia="en-AU"/>
          <w14:ligatures w14:val="standardContextual"/>
        </w:rPr>
        <w:tab/>
      </w:r>
      <w:r>
        <w:rPr>
          <w:noProof/>
        </w:rPr>
        <w:t>Operating Budget, General Rates and Coastal Management Fund</w:t>
      </w:r>
      <w:r>
        <w:rPr>
          <w:noProof/>
        </w:rPr>
        <w:tab/>
      </w:r>
      <w:r>
        <w:rPr>
          <w:noProof/>
        </w:rPr>
        <w:fldChar w:fldCharType="begin"/>
      </w:r>
      <w:r>
        <w:rPr>
          <w:noProof/>
        </w:rPr>
        <w:instrText xml:space="preserve"> PAGEREF _Toc164421008 \h </w:instrText>
      </w:r>
      <w:r>
        <w:rPr>
          <w:noProof/>
        </w:rPr>
      </w:r>
      <w:r>
        <w:rPr>
          <w:noProof/>
        </w:rPr>
        <w:fldChar w:fldCharType="separate"/>
      </w:r>
      <w:r>
        <w:rPr>
          <w:noProof/>
        </w:rPr>
        <w:t>50</w:t>
      </w:r>
      <w:r>
        <w:rPr>
          <w:noProof/>
        </w:rPr>
        <w:fldChar w:fldCharType="end"/>
      </w:r>
    </w:p>
    <w:p w14:paraId="121DA09F" w14:textId="389FF353"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8.3.2</w:t>
      </w:r>
      <w:r>
        <w:rPr>
          <w:rFonts w:eastAsiaTheme="minorEastAsia"/>
          <w:noProof/>
          <w:color w:val="auto"/>
          <w:kern w:val="2"/>
          <w:sz w:val="24"/>
          <w:szCs w:val="24"/>
          <w:lang w:eastAsia="en-AU"/>
          <w14:ligatures w14:val="standardContextual"/>
        </w:rPr>
        <w:tab/>
      </w:r>
      <w:r>
        <w:rPr>
          <w:noProof/>
        </w:rPr>
        <w:t>Specified Area Rate</w:t>
      </w:r>
      <w:r>
        <w:rPr>
          <w:noProof/>
        </w:rPr>
        <w:tab/>
      </w:r>
      <w:r>
        <w:rPr>
          <w:noProof/>
        </w:rPr>
        <w:fldChar w:fldCharType="begin"/>
      </w:r>
      <w:r>
        <w:rPr>
          <w:noProof/>
        </w:rPr>
        <w:instrText xml:space="preserve"> PAGEREF _Toc164421009 \h </w:instrText>
      </w:r>
      <w:r>
        <w:rPr>
          <w:noProof/>
        </w:rPr>
      </w:r>
      <w:r>
        <w:rPr>
          <w:noProof/>
        </w:rPr>
        <w:fldChar w:fldCharType="separate"/>
      </w:r>
      <w:r>
        <w:rPr>
          <w:noProof/>
        </w:rPr>
        <w:t>50</w:t>
      </w:r>
      <w:r>
        <w:rPr>
          <w:noProof/>
        </w:rPr>
        <w:fldChar w:fldCharType="end"/>
      </w:r>
    </w:p>
    <w:p w14:paraId="15A7BF38" w14:textId="5E83807C"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8.3.3</w:t>
      </w:r>
      <w:r>
        <w:rPr>
          <w:rFonts w:eastAsiaTheme="minorEastAsia"/>
          <w:noProof/>
          <w:color w:val="auto"/>
          <w:kern w:val="2"/>
          <w:sz w:val="24"/>
          <w:szCs w:val="24"/>
          <w:lang w:eastAsia="en-AU"/>
          <w14:ligatures w14:val="standardContextual"/>
        </w:rPr>
        <w:tab/>
      </w:r>
      <w:r>
        <w:rPr>
          <w:noProof/>
        </w:rPr>
        <w:t>Levies</w:t>
      </w:r>
      <w:r>
        <w:rPr>
          <w:noProof/>
        </w:rPr>
        <w:tab/>
      </w:r>
      <w:r>
        <w:rPr>
          <w:noProof/>
        </w:rPr>
        <w:fldChar w:fldCharType="begin"/>
      </w:r>
      <w:r>
        <w:rPr>
          <w:noProof/>
        </w:rPr>
        <w:instrText xml:space="preserve"> PAGEREF _Toc164421010 \h </w:instrText>
      </w:r>
      <w:r>
        <w:rPr>
          <w:noProof/>
        </w:rPr>
      </w:r>
      <w:r>
        <w:rPr>
          <w:noProof/>
        </w:rPr>
        <w:fldChar w:fldCharType="separate"/>
      </w:r>
      <w:r>
        <w:rPr>
          <w:noProof/>
        </w:rPr>
        <w:t>50</w:t>
      </w:r>
      <w:r>
        <w:rPr>
          <w:noProof/>
        </w:rPr>
        <w:fldChar w:fldCharType="end"/>
      </w:r>
    </w:p>
    <w:p w14:paraId="5F5F7772" w14:textId="45B4C586"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8.3.4</w:t>
      </w:r>
      <w:r>
        <w:rPr>
          <w:rFonts w:eastAsiaTheme="minorEastAsia"/>
          <w:noProof/>
          <w:color w:val="auto"/>
          <w:kern w:val="2"/>
          <w:sz w:val="24"/>
          <w:szCs w:val="24"/>
          <w:lang w:eastAsia="en-AU"/>
          <w14:ligatures w14:val="standardContextual"/>
        </w:rPr>
        <w:tab/>
      </w:r>
      <w:r>
        <w:rPr>
          <w:noProof/>
        </w:rPr>
        <w:t>Lease Land Management</w:t>
      </w:r>
      <w:r>
        <w:rPr>
          <w:noProof/>
        </w:rPr>
        <w:tab/>
      </w:r>
      <w:r>
        <w:rPr>
          <w:noProof/>
        </w:rPr>
        <w:fldChar w:fldCharType="begin"/>
      </w:r>
      <w:r>
        <w:rPr>
          <w:noProof/>
        </w:rPr>
        <w:instrText xml:space="preserve"> PAGEREF _Toc164421011 \h </w:instrText>
      </w:r>
      <w:r>
        <w:rPr>
          <w:noProof/>
        </w:rPr>
      </w:r>
      <w:r>
        <w:rPr>
          <w:noProof/>
        </w:rPr>
        <w:fldChar w:fldCharType="separate"/>
      </w:r>
      <w:r>
        <w:rPr>
          <w:noProof/>
        </w:rPr>
        <w:t>50</w:t>
      </w:r>
      <w:r>
        <w:rPr>
          <w:noProof/>
        </w:rPr>
        <w:fldChar w:fldCharType="end"/>
      </w:r>
    </w:p>
    <w:p w14:paraId="6C7641C7" w14:textId="6E5AD89D"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8.3.5</w:t>
      </w:r>
      <w:r>
        <w:rPr>
          <w:rFonts w:eastAsiaTheme="minorEastAsia"/>
          <w:noProof/>
          <w:color w:val="auto"/>
          <w:kern w:val="2"/>
          <w:sz w:val="24"/>
          <w:szCs w:val="24"/>
          <w:lang w:eastAsia="en-AU"/>
          <w14:ligatures w14:val="standardContextual"/>
        </w:rPr>
        <w:tab/>
      </w:r>
      <w:r>
        <w:rPr>
          <w:noProof/>
        </w:rPr>
        <w:t>State Grants – CoastWA</w:t>
      </w:r>
      <w:r>
        <w:rPr>
          <w:noProof/>
        </w:rPr>
        <w:tab/>
      </w:r>
      <w:r>
        <w:rPr>
          <w:noProof/>
        </w:rPr>
        <w:fldChar w:fldCharType="begin"/>
      </w:r>
      <w:r>
        <w:rPr>
          <w:noProof/>
        </w:rPr>
        <w:instrText xml:space="preserve"> PAGEREF _Toc164421012 \h </w:instrText>
      </w:r>
      <w:r>
        <w:rPr>
          <w:noProof/>
        </w:rPr>
      </w:r>
      <w:r>
        <w:rPr>
          <w:noProof/>
        </w:rPr>
        <w:fldChar w:fldCharType="separate"/>
      </w:r>
      <w:r>
        <w:rPr>
          <w:noProof/>
        </w:rPr>
        <w:t>50</w:t>
      </w:r>
      <w:r>
        <w:rPr>
          <w:noProof/>
        </w:rPr>
        <w:fldChar w:fldCharType="end"/>
      </w:r>
    </w:p>
    <w:p w14:paraId="0FC668AE" w14:textId="63760047"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8.3.6</w:t>
      </w:r>
      <w:r>
        <w:rPr>
          <w:rFonts w:eastAsiaTheme="minorEastAsia"/>
          <w:noProof/>
          <w:color w:val="auto"/>
          <w:kern w:val="2"/>
          <w:sz w:val="24"/>
          <w:szCs w:val="24"/>
          <w:lang w:eastAsia="en-AU"/>
          <w14:ligatures w14:val="standardContextual"/>
        </w:rPr>
        <w:tab/>
      </w:r>
      <w:r>
        <w:rPr>
          <w:noProof/>
        </w:rPr>
        <w:t>Federal Grants</w:t>
      </w:r>
      <w:r>
        <w:rPr>
          <w:noProof/>
        </w:rPr>
        <w:tab/>
      </w:r>
      <w:r>
        <w:rPr>
          <w:noProof/>
        </w:rPr>
        <w:fldChar w:fldCharType="begin"/>
      </w:r>
      <w:r>
        <w:rPr>
          <w:noProof/>
        </w:rPr>
        <w:instrText xml:space="preserve"> PAGEREF _Toc164421013 \h </w:instrText>
      </w:r>
      <w:r>
        <w:rPr>
          <w:noProof/>
        </w:rPr>
      </w:r>
      <w:r>
        <w:rPr>
          <w:noProof/>
        </w:rPr>
        <w:fldChar w:fldCharType="separate"/>
      </w:r>
      <w:r>
        <w:rPr>
          <w:noProof/>
        </w:rPr>
        <w:t>51</w:t>
      </w:r>
      <w:r>
        <w:rPr>
          <w:noProof/>
        </w:rPr>
        <w:fldChar w:fldCharType="end"/>
      </w:r>
    </w:p>
    <w:p w14:paraId="49AA9894" w14:textId="6D924F9D"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8.3.7</w:t>
      </w:r>
      <w:r>
        <w:rPr>
          <w:rFonts w:eastAsiaTheme="minorEastAsia"/>
          <w:noProof/>
          <w:color w:val="auto"/>
          <w:kern w:val="2"/>
          <w:sz w:val="24"/>
          <w:szCs w:val="24"/>
          <w:lang w:eastAsia="en-AU"/>
          <w14:ligatures w14:val="standardContextual"/>
        </w:rPr>
        <w:tab/>
      </w:r>
      <w:r>
        <w:rPr>
          <w:noProof/>
        </w:rPr>
        <w:t>Beneficiary (user) Pays</w:t>
      </w:r>
      <w:r>
        <w:rPr>
          <w:noProof/>
        </w:rPr>
        <w:tab/>
      </w:r>
      <w:r>
        <w:rPr>
          <w:noProof/>
        </w:rPr>
        <w:fldChar w:fldCharType="begin"/>
      </w:r>
      <w:r>
        <w:rPr>
          <w:noProof/>
        </w:rPr>
        <w:instrText xml:space="preserve"> PAGEREF _Toc164421014 \h </w:instrText>
      </w:r>
      <w:r>
        <w:rPr>
          <w:noProof/>
        </w:rPr>
      </w:r>
      <w:r>
        <w:rPr>
          <w:noProof/>
        </w:rPr>
        <w:fldChar w:fldCharType="separate"/>
      </w:r>
      <w:r>
        <w:rPr>
          <w:noProof/>
        </w:rPr>
        <w:t>52</w:t>
      </w:r>
      <w:r>
        <w:rPr>
          <w:noProof/>
        </w:rPr>
        <w:fldChar w:fldCharType="end"/>
      </w:r>
    </w:p>
    <w:p w14:paraId="30AC368A" w14:textId="0C63691F" w:rsidR="00615155" w:rsidRDefault="00615155">
      <w:pPr>
        <w:pStyle w:val="TOC5"/>
        <w:rPr>
          <w:rFonts w:eastAsiaTheme="minorEastAsia"/>
          <w:color w:val="auto"/>
          <w:kern w:val="2"/>
          <w:sz w:val="24"/>
          <w:szCs w:val="24"/>
          <w:lang w:eastAsia="en-AU"/>
          <w14:ligatures w14:val="standardContextual"/>
        </w:rPr>
      </w:pPr>
      <w:r>
        <w:t>8.4</w:t>
      </w:r>
      <w:r>
        <w:rPr>
          <w:rFonts w:eastAsiaTheme="minorEastAsia"/>
          <w:color w:val="auto"/>
          <w:kern w:val="2"/>
          <w:sz w:val="24"/>
          <w:szCs w:val="24"/>
          <w:lang w:eastAsia="en-AU"/>
          <w14:ligatures w14:val="standardContextual"/>
        </w:rPr>
        <w:tab/>
      </w:r>
      <w:r>
        <w:t>Monitoring and Review</w:t>
      </w:r>
      <w:r>
        <w:tab/>
      </w:r>
      <w:r>
        <w:fldChar w:fldCharType="begin"/>
      </w:r>
      <w:r>
        <w:instrText xml:space="preserve"> PAGEREF _Toc164421015 \h </w:instrText>
      </w:r>
      <w:r>
        <w:fldChar w:fldCharType="separate"/>
      </w:r>
      <w:r>
        <w:t>52</w:t>
      </w:r>
      <w:r>
        <w:fldChar w:fldCharType="end"/>
      </w:r>
    </w:p>
    <w:p w14:paraId="59B51EA1" w14:textId="1080BA4E"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8.4.1</w:t>
      </w:r>
      <w:r>
        <w:rPr>
          <w:rFonts w:eastAsiaTheme="minorEastAsia"/>
          <w:noProof/>
          <w:color w:val="auto"/>
          <w:kern w:val="2"/>
          <w:sz w:val="24"/>
          <w:szCs w:val="24"/>
          <w:lang w:eastAsia="en-AU"/>
          <w14:ligatures w14:val="standardContextual"/>
        </w:rPr>
        <w:tab/>
      </w:r>
      <w:r>
        <w:rPr>
          <w:noProof/>
        </w:rPr>
        <w:t>Review of Existing Coastal Monitoring</w:t>
      </w:r>
      <w:r>
        <w:rPr>
          <w:noProof/>
        </w:rPr>
        <w:tab/>
      </w:r>
      <w:r>
        <w:rPr>
          <w:noProof/>
        </w:rPr>
        <w:fldChar w:fldCharType="begin"/>
      </w:r>
      <w:r>
        <w:rPr>
          <w:noProof/>
        </w:rPr>
        <w:instrText xml:space="preserve"> PAGEREF _Toc164421016 \h </w:instrText>
      </w:r>
      <w:r>
        <w:rPr>
          <w:noProof/>
        </w:rPr>
      </w:r>
      <w:r>
        <w:rPr>
          <w:noProof/>
        </w:rPr>
        <w:fldChar w:fldCharType="separate"/>
      </w:r>
      <w:r>
        <w:rPr>
          <w:noProof/>
        </w:rPr>
        <w:t>52</w:t>
      </w:r>
      <w:r>
        <w:rPr>
          <w:noProof/>
        </w:rPr>
        <w:fldChar w:fldCharType="end"/>
      </w:r>
    </w:p>
    <w:p w14:paraId="1464DFCE" w14:textId="1E190133"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8.4.2</w:t>
      </w:r>
      <w:r>
        <w:rPr>
          <w:rFonts w:eastAsiaTheme="minorEastAsia"/>
          <w:noProof/>
          <w:color w:val="auto"/>
          <w:kern w:val="2"/>
          <w:sz w:val="24"/>
          <w:szCs w:val="24"/>
          <w:lang w:eastAsia="en-AU"/>
          <w14:ligatures w14:val="standardContextual"/>
        </w:rPr>
        <w:tab/>
      </w:r>
      <w:r>
        <w:rPr>
          <w:noProof/>
        </w:rPr>
        <w:t>Recommended Coastal Monitoring Activities</w:t>
      </w:r>
      <w:r>
        <w:rPr>
          <w:noProof/>
        </w:rPr>
        <w:tab/>
      </w:r>
      <w:r>
        <w:rPr>
          <w:noProof/>
        </w:rPr>
        <w:fldChar w:fldCharType="begin"/>
      </w:r>
      <w:r>
        <w:rPr>
          <w:noProof/>
        </w:rPr>
        <w:instrText xml:space="preserve"> PAGEREF _Toc164421017 \h </w:instrText>
      </w:r>
      <w:r>
        <w:rPr>
          <w:noProof/>
        </w:rPr>
      </w:r>
      <w:r>
        <w:rPr>
          <w:noProof/>
        </w:rPr>
        <w:fldChar w:fldCharType="separate"/>
      </w:r>
      <w:r>
        <w:rPr>
          <w:noProof/>
        </w:rPr>
        <w:t>52</w:t>
      </w:r>
      <w:r>
        <w:rPr>
          <w:noProof/>
        </w:rPr>
        <w:fldChar w:fldCharType="end"/>
      </w:r>
    </w:p>
    <w:p w14:paraId="7CEAA917" w14:textId="3F922E9E"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8.4.3</w:t>
      </w:r>
      <w:r>
        <w:rPr>
          <w:rFonts w:eastAsiaTheme="minorEastAsia"/>
          <w:noProof/>
          <w:color w:val="auto"/>
          <w:kern w:val="2"/>
          <w:sz w:val="24"/>
          <w:szCs w:val="24"/>
          <w:lang w:eastAsia="en-AU"/>
          <w14:ligatures w14:val="standardContextual"/>
        </w:rPr>
        <w:tab/>
      </w:r>
      <w:r>
        <w:rPr>
          <w:noProof/>
        </w:rPr>
        <w:t>Trigger Points</w:t>
      </w:r>
      <w:r>
        <w:rPr>
          <w:noProof/>
        </w:rPr>
        <w:tab/>
      </w:r>
      <w:r>
        <w:rPr>
          <w:noProof/>
        </w:rPr>
        <w:fldChar w:fldCharType="begin"/>
      </w:r>
      <w:r>
        <w:rPr>
          <w:noProof/>
        </w:rPr>
        <w:instrText xml:space="preserve"> PAGEREF _Toc164421018 \h </w:instrText>
      </w:r>
      <w:r>
        <w:rPr>
          <w:noProof/>
        </w:rPr>
      </w:r>
      <w:r>
        <w:rPr>
          <w:noProof/>
        </w:rPr>
        <w:fldChar w:fldCharType="separate"/>
      </w:r>
      <w:r>
        <w:rPr>
          <w:noProof/>
        </w:rPr>
        <w:t>54</w:t>
      </w:r>
      <w:r>
        <w:rPr>
          <w:noProof/>
        </w:rPr>
        <w:fldChar w:fldCharType="end"/>
      </w:r>
    </w:p>
    <w:p w14:paraId="5165CD97" w14:textId="4819A87B"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8.4.4</w:t>
      </w:r>
      <w:r>
        <w:rPr>
          <w:rFonts w:eastAsiaTheme="minorEastAsia"/>
          <w:noProof/>
          <w:color w:val="auto"/>
          <w:kern w:val="2"/>
          <w:sz w:val="24"/>
          <w:szCs w:val="24"/>
          <w:lang w:eastAsia="en-AU"/>
          <w14:ligatures w14:val="standardContextual"/>
        </w:rPr>
        <w:tab/>
      </w:r>
      <w:r>
        <w:rPr>
          <w:noProof/>
        </w:rPr>
        <w:t>CHRMAP Review</w:t>
      </w:r>
      <w:r>
        <w:rPr>
          <w:noProof/>
        </w:rPr>
        <w:tab/>
      </w:r>
      <w:r>
        <w:rPr>
          <w:noProof/>
        </w:rPr>
        <w:fldChar w:fldCharType="begin"/>
      </w:r>
      <w:r>
        <w:rPr>
          <w:noProof/>
        </w:rPr>
        <w:instrText xml:space="preserve"> PAGEREF _Toc164421019 \h </w:instrText>
      </w:r>
      <w:r>
        <w:rPr>
          <w:noProof/>
        </w:rPr>
      </w:r>
      <w:r>
        <w:rPr>
          <w:noProof/>
        </w:rPr>
        <w:fldChar w:fldCharType="separate"/>
      </w:r>
      <w:r>
        <w:rPr>
          <w:noProof/>
        </w:rPr>
        <w:t>55</w:t>
      </w:r>
      <w:r>
        <w:rPr>
          <w:noProof/>
        </w:rPr>
        <w:fldChar w:fldCharType="end"/>
      </w:r>
    </w:p>
    <w:p w14:paraId="498D0BF9" w14:textId="49E41BA2" w:rsidR="00615155" w:rsidRDefault="00615155">
      <w:pPr>
        <w:pStyle w:val="TOC5"/>
        <w:rPr>
          <w:rFonts w:eastAsiaTheme="minorEastAsia"/>
          <w:color w:val="auto"/>
          <w:kern w:val="2"/>
          <w:sz w:val="24"/>
          <w:szCs w:val="24"/>
          <w:lang w:eastAsia="en-AU"/>
          <w14:ligatures w14:val="standardContextual"/>
        </w:rPr>
      </w:pPr>
      <w:r>
        <w:t>8.5</w:t>
      </w:r>
      <w:r>
        <w:rPr>
          <w:rFonts w:eastAsiaTheme="minorEastAsia"/>
          <w:color w:val="auto"/>
          <w:kern w:val="2"/>
          <w:sz w:val="24"/>
          <w:szCs w:val="24"/>
          <w:lang w:eastAsia="en-AU"/>
          <w14:ligatures w14:val="standardContextual"/>
        </w:rPr>
        <w:tab/>
      </w:r>
      <w:r>
        <w:t>Implementation Overview</w:t>
      </w:r>
      <w:r>
        <w:tab/>
      </w:r>
      <w:r>
        <w:fldChar w:fldCharType="begin"/>
      </w:r>
      <w:r>
        <w:instrText xml:space="preserve"> PAGEREF _Toc164421020 \h </w:instrText>
      </w:r>
      <w:r>
        <w:fldChar w:fldCharType="separate"/>
      </w:r>
      <w:r>
        <w:t>55</w:t>
      </w:r>
      <w:r>
        <w:fldChar w:fldCharType="end"/>
      </w:r>
    </w:p>
    <w:p w14:paraId="43111B6F" w14:textId="204F1C9E" w:rsidR="00615155" w:rsidRDefault="00615155">
      <w:pPr>
        <w:pStyle w:val="TOC5"/>
        <w:rPr>
          <w:rFonts w:eastAsiaTheme="minorEastAsia"/>
          <w:color w:val="auto"/>
          <w:kern w:val="2"/>
          <w:sz w:val="24"/>
          <w:szCs w:val="24"/>
          <w:lang w:eastAsia="en-AU"/>
          <w14:ligatures w14:val="standardContextual"/>
        </w:rPr>
      </w:pPr>
      <w:r>
        <w:t>8.6</w:t>
      </w:r>
      <w:r>
        <w:rPr>
          <w:rFonts w:eastAsiaTheme="minorEastAsia"/>
          <w:color w:val="auto"/>
          <w:kern w:val="2"/>
          <w:sz w:val="24"/>
          <w:szCs w:val="24"/>
          <w:lang w:eastAsia="en-AU"/>
          <w14:ligatures w14:val="standardContextual"/>
        </w:rPr>
        <w:tab/>
      </w:r>
      <w:r>
        <w:t>Short-term Implementation</w:t>
      </w:r>
      <w:r>
        <w:tab/>
      </w:r>
      <w:r>
        <w:fldChar w:fldCharType="begin"/>
      </w:r>
      <w:r>
        <w:instrText xml:space="preserve"> PAGEREF _Toc164421021 \h </w:instrText>
      </w:r>
      <w:r>
        <w:fldChar w:fldCharType="separate"/>
      </w:r>
      <w:r>
        <w:t>58</w:t>
      </w:r>
      <w:r>
        <w:fldChar w:fldCharType="end"/>
      </w:r>
    </w:p>
    <w:p w14:paraId="02565236" w14:textId="626A1208"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8.6.1</w:t>
      </w:r>
      <w:r>
        <w:rPr>
          <w:rFonts w:eastAsiaTheme="minorEastAsia"/>
          <w:noProof/>
          <w:color w:val="auto"/>
          <w:kern w:val="2"/>
          <w:sz w:val="24"/>
          <w:szCs w:val="24"/>
          <w:lang w:eastAsia="en-AU"/>
          <w14:ligatures w14:val="standardContextual"/>
        </w:rPr>
        <w:tab/>
      </w:r>
      <w:r>
        <w:rPr>
          <w:noProof/>
        </w:rPr>
        <w:t>Key Assumptions</w:t>
      </w:r>
      <w:r>
        <w:rPr>
          <w:noProof/>
        </w:rPr>
        <w:tab/>
      </w:r>
      <w:r>
        <w:rPr>
          <w:noProof/>
        </w:rPr>
        <w:fldChar w:fldCharType="begin"/>
      </w:r>
      <w:r>
        <w:rPr>
          <w:noProof/>
        </w:rPr>
        <w:instrText xml:space="preserve"> PAGEREF _Toc164421022 \h </w:instrText>
      </w:r>
      <w:r>
        <w:rPr>
          <w:noProof/>
        </w:rPr>
      </w:r>
      <w:r>
        <w:rPr>
          <w:noProof/>
        </w:rPr>
        <w:fldChar w:fldCharType="separate"/>
      </w:r>
      <w:r>
        <w:rPr>
          <w:noProof/>
        </w:rPr>
        <w:t>59</w:t>
      </w:r>
      <w:r>
        <w:rPr>
          <w:noProof/>
        </w:rPr>
        <w:fldChar w:fldCharType="end"/>
      </w:r>
    </w:p>
    <w:p w14:paraId="449C8FC6" w14:textId="1F0D7D37" w:rsidR="00615155" w:rsidRDefault="00615155">
      <w:pPr>
        <w:pStyle w:val="TOC3"/>
        <w:tabs>
          <w:tab w:val="left" w:pos="851"/>
        </w:tabs>
        <w:rPr>
          <w:rFonts w:eastAsiaTheme="minorEastAsia"/>
          <w:noProof/>
          <w:color w:val="auto"/>
          <w:kern w:val="2"/>
          <w:sz w:val="24"/>
          <w:szCs w:val="24"/>
          <w:lang w:eastAsia="en-AU"/>
          <w14:ligatures w14:val="standardContextual"/>
        </w:rPr>
      </w:pPr>
      <w:r>
        <w:rPr>
          <w:noProof/>
        </w:rPr>
        <w:t>8.6.2</w:t>
      </w:r>
      <w:r>
        <w:rPr>
          <w:rFonts w:eastAsiaTheme="minorEastAsia"/>
          <w:noProof/>
          <w:color w:val="auto"/>
          <w:kern w:val="2"/>
          <w:sz w:val="24"/>
          <w:szCs w:val="24"/>
          <w:lang w:eastAsia="en-AU"/>
          <w14:ligatures w14:val="standardContextual"/>
        </w:rPr>
        <w:tab/>
      </w:r>
      <w:r>
        <w:rPr>
          <w:noProof/>
        </w:rPr>
        <w:t>Further Investigations</w:t>
      </w:r>
      <w:r>
        <w:rPr>
          <w:noProof/>
        </w:rPr>
        <w:tab/>
      </w:r>
      <w:r>
        <w:rPr>
          <w:noProof/>
        </w:rPr>
        <w:fldChar w:fldCharType="begin"/>
      </w:r>
      <w:r>
        <w:rPr>
          <w:noProof/>
        </w:rPr>
        <w:instrText xml:space="preserve"> PAGEREF _Toc164421023 \h </w:instrText>
      </w:r>
      <w:r>
        <w:rPr>
          <w:noProof/>
        </w:rPr>
      </w:r>
      <w:r>
        <w:rPr>
          <w:noProof/>
        </w:rPr>
        <w:fldChar w:fldCharType="separate"/>
      </w:r>
      <w:r>
        <w:rPr>
          <w:noProof/>
        </w:rPr>
        <w:t>59</w:t>
      </w:r>
      <w:r>
        <w:rPr>
          <w:noProof/>
        </w:rPr>
        <w:fldChar w:fldCharType="end"/>
      </w:r>
    </w:p>
    <w:p w14:paraId="45447493" w14:textId="4659557D" w:rsidR="00615155" w:rsidRDefault="00615155">
      <w:pPr>
        <w:pStyle w:val="TOC5"/>
        <w:rPr>
          <w:rFonts w:eastAsiaTheme="minorEastAsia"/>
          <w:color w:val="auto"/>
          <w:kern w:val="2"/>
          <w:sz w:val="24"/>
          <w:szCs w:val="24"/>
          <w:lang w:eastAsia="en-AU"/>
          <w14:ligatures w14:val="standardContextual"/>
        </w:rPr>
      </w:pPr>
      <w:r>
        <w:t>8.7</w:t>
      </w:r>
      <w:r>
        <w:rPr>
          <w:rFonts w:eastAsiaTheme="minorEastAsia"/>
          <w:color w:val="auto"/>
          <w:kern w:val="2"/>
          <w:sz w:val="24"/>
          <w:szCs w:val="24"/>
          <w:lang w:eastAsia="en-AU"/>
          <w14:ligatures w14:val="standardContextual"/>
        </w:rPr>
        <w:tab/>
      </w:r>
      <w:r>
        <w:t>Medium and Long-term Implementation</w:t>
      </w:r>
      <w:r>
        <w:tab/>
      </w:r>
      <w:r>
        <w:fldChar w:fldCharType="begin"/>
      </w:r>
      <w:r>
        <w:instrText xml:space="preserve"> PAGEREF _Toc164421024 \h </w:instrText>
      </w:r>
      <w:r>
        <w:fldChar w:fldCharType="separate"/>
      </w:r>
      <w:r>
        <w:t>62</w:t>
      </w:r>
      <w:r>
        <w:fldChar w:fldCharType="end"/>
      </w:r>
    </w:p>
    <w:p w14:paraId="6E390D7B" w14:textId="0C1470E5" w:rsidR="00615155" w:rsidRDefault="00615155">
      <w:pPr>
        <w:pStyle w:val="TOC5"/>
        <w:rPr>
          <w:rFonts w:eastAsiaTheme="minorEastAsia"/>
          <w:color w:val="auto"/>
          <w:kern w:val="2"/>
          <w:sz w:val="24"/>
          <w:szCs w:val="24"/>
          <w:lang w:eastAsia="en-AU"/>
          <w14:ligatures w14:val="standardContextual"/>
        </w:rPr>
      </w:pPr>
      <w:r>
        <w:t>8.8</w:t>
      </w:r>
      <w:r>
        <w:rPr>
          <w:rFonts w:eastAsiaTheme="minorEastAsia"/>
          <w:color w:val="auto"/>
          <w:kern w:val="2"/>
          <w:sz w:val="24"/>
          <w:szCs w:val="24"/>
          <w:lang w:eastAsia="en-AU"/>
          <w14:ligatures w14:val="standardContextual"/>
        </w:rPr>
        <w:tab/>
      </w:r>
      <w:r>
        <w:t>Detailed Implementation Plans</w:t>
      </w:r>
      <w:r>
        <w:tab/>
      </w:r>
      <w:r>
        <w:fldChar w:fldCharType="begin"/>
      </w:r>
      <w:r>
        <w:instrText xml:space="preserve"> PAGEREF _Toc164421025 \h </w:instrText>
      </w:r>
      <w:r>
        <w:fldChar w:fldCharType="separate"/>
      </w:r>
      <w:r>
        <w:t>62</w:t>
      </w:r>
      <w:r>
        <w:fldChar w:fldCharType="end"/>
      </w:r>
    </w:p>
    <w:p w14:paraId="0F73F6E5" w14:textId="3A1A70D5" w:rsidR="00B93B38" w:rsidRPr="00877900" w:rsidRDefault="00B93B38" w:rsidP="00B93B38">
      <w:pPr>
        <w:pStyle w:val="TOCHeading"/>
      </w:pPr>
      <w:r w:rsidRPr="00877900">
        <w:rPr>
          <w:rFonts w:asciiTheme="minorHAnsi" w:eastAsiaTheme="minorHAnsi" w:hAnsiTheme="minorHAnsi" w:cstheme="minorBidi"/>
          <w:b/>
          <w:noProof/>
          <w:sz w:val="20"/>
          <w:szCs w:val="22"/>
          <w:lang w:eastAsia="en-US"/>
        </w:rPr>
        <w:fldChar w:fldCharType="end"/>
      </w:r>
      <w:bookmarkEnd w:id="1"/>
      <w:r w:rsidRPr="00877900">
        <w:t>Appendices</w:t>
      </w:r>
    </w:p>
    <w:p w14:paraId="74B160FA" w14:textId="77777777" w:rsidR="00615155" w:rsidRDefault="00B93B38">
      <w:pPr>
        <w:pStyle w:val="TOC2"/>
        <w:rPr>
          <w:rFonts w:eastAsiaTheme="minorEastAsia"/>
          <w:color w:val="auto"/>
          <w:kern w:val="2"/>
          <w:sz w:val="24"/>
          <w:szCs w:val="24"/>
          <w:lang w:eastAsia="en-AU"/>
          <w14:ligatures w14:val="standardContextual"/>
        </w:rPr>
      </w:pPr>
      <w:r w:rsidRPr="002A6E3A">
        <w:fldChar w:fldCharType="begin"/>
      </w:r>
      <w:r w:rsidRPr="002A6E3A">
        <w:instrText xml:space="preserve"> TOC \n \t "Appendix H1,2" </w:instrText>
      </w:r>
      <w:r w:rsidRPr="002A6E3A">
        <w:fldChar w:fldCharType="separate"/>
      </w:r>
      <w:r w:rsidR="00615155">
        <w:t>Appendix A Maps of Erosion and Inundation And Recommended Adaptation Options</w:t>
      </w:r>
    </w:p>
    <w:p w14:paraId="53E23E25" w14:textId="77777777" w:rsidR="00615155" w:rsidRDefault="00615155">
      <w:pPr>
        <w:pStyle w:val="TOC2"/>
        <w:rPr>
          <w:rFonts w:eastAsiaTheme="minorEastAsia"/>
          <w:color w:val="auto"/>
          <w:kern w:val="2"/>
          <w:sz w:val="24"/>
          <w:szCs w:val="24"/>
          <w:lang w:eastAsia="en-AU"/>
          <w14:ligatures w14:val="standardContextual"/>
        </w:rPr>
      </w:pPr>
      <w:r>
        <w:t>Appendix B Establish The Context Chapter Report</w:t>
      </w:r>
    </w:p>
    <w:p w14:paraId="2976FDDD" w14:textId="77777777" w:rsidR="00615155" w:rsidRDefault="00615155">
      <w:pPr>
        <w:pStyle w:val="TOC2"/>
        <w:rPr>
          <w:rFonts w:eastAsiaTheme="minorEastAsia"/>
          <w:color w:val="auto"/>
          <w:kern w:val="2"/>
          <w:sz w:val="24"/>
          <w:szCs w:val="24"/>
          <w:lang w:eastAsia="en-AU"/>
          <w14:ligatures w14:val="standardContextual"/>
        </w:rPr>
      </w:pPr>
      <w:r>
        <w:t>Appendix C Risk Identification Chapter Report</w:t>
      </w:r>
    </w:p>
    <w:p w14:paraId="54F5DAC1" w14:textId="77777777" w:rsidR="00615155" w:rsidRDefault="00615155">
      <w:pPr>
        <w:pStyle w:val="TOC2"/>
        <w:rPr>
          <w:rFonts w:eastAsiaTheme="minorEastAsia"/>
          <w:color w:val="auto"/>
          <w:kern w:val="2"/>
          <w:sz w:val="24"/>
          <w:szCs w:val="24"/>
          <w:lang w:eastAsia="en-AU"/>
          <w14:ligatures w14:val="standardContextual"/>
        </w:rPr>
      </w:pPr>
      <w:r>
        <w:t>Appendix D Vulnerability Analysis Chapter Report</w:t>
      </w:r>
    </w:p>
    <w:p w14:paraId="76D60549" w14:textId="77777777" w:rsidR="00615155" w:rsidRDefault="00615155">
      <w:pPr>
        <w:pStyle w:val="TOC2"/>
        <w:rPr>
          <w:rFonts w:eastAsiaTheme="minorEastAsia"/>
          <w:color w:val="auto"/>
          <w:kern w:val="2"/>
          <w:sz w:val="24"/>
          <w:szCs w:val="24"/>
          <w:lang w:eastAsia="en-AU"/>
          <w14:ligatures w14:val="standardContextual"/>
        </w:rPr>
      </w:pPr>
      <w:r>
        <w:t>Appendix E Risk Evaluation And Treatment chapter report</w:t>
      </w:r>
    </w:p>
    <w:p w14:paraId="0B95C64C" w14:textId="77777777" w:rsidR="00615155" w:rsidRDefault="00615155">
      <w:pPr>
        <w:pStyle w:val="TOC2"/>
        <w:rPr>
          <w:rFonts w:eastAsiaTheme="minorEastAsia"/>
          <w:color w:val="auto"/>
          <w:kern w:val="2"/>
          <w:sz w:val="24"/>
          <w:szCs w:val="24"/>
          <w:lang w:eastAsia="en-AU"/>
          <w14:ligatures w14:val="standardContextual"/>
        </w:rPr>
      </w:pPr>
      <w:r>
        <w:t>Appendix F Assessment of Risk Treatment Options Chapter Report</w:t>
      </w:r>
    </w:p>
    <w:p w14:paraId="0BE4FFFE" w14:textId="77777777" w:rsidR="00615155" w:rsidRDefault="00615155">
      <w:pPr>
        <w:pStyle w:val="TOC2"/>
        <w:rPr>
          <w:rFonts w:eastAsiaTheme="minorEastAsia"/>
          <w:color w:val="auto"/>
          <w:kern w:val="2"/>
          <w:sz w:val="24"/>
          <w:szCs w:val="24"/>
          <w:lang w:eastAsia="en-AU"/>
          <w14:ligatures w14:val="standardContextual"/>
        </w:rPr>
      </w:pPr>
      <w:r>
        <w:t>Appendix G Implementation and Monitoring Chapter Report</w:t>
      </w:r>
    </w:p>
    <w:p w14:paraId="6B3D7775" w14:textId="77777777" w:rsidR="00615155" w:rsidRDefault="00615155">
      <w:pPr>
        <w:pStyle w:val="TOC2"/>
        <w:rPr>
          <w:rFonts w:eastAsiaTheme="minorEastAsia"/>
          <w:color w:val="auto"/>
          <w:kern w:val="2"/>
          <w:sz w:val="24"/>
          <w:szCs w:val="24"/>
          <w:lang w:eastAsia="en-AU"/>
          <w14:ligatures w14:val="standardContextual"/>
        </w:rPr>
      </w:pPr>
      <w:r>
        <w:t>Appendix H Princess Royal Harbour Coastal Hazard Local Planning Policy</w:t>
      </w:r>
    </w:p>
    <w:p w14:paraId="6ED3630A" w14:textId="46B4D132" w:rsidR="00B93B38" w:rsidRPr="002A6E3A" w:rsidRDefault="00B93B38" w:rsidP="00B93B38">
      <w:pPr>
        <w:pStyle w:val="TOC2"/>
      </w:pPr>
      <w:r w:rsidRPr="002A6E3A">
        <w:fldChar w:fldCharType="end"/>
      </w:r>
    </w:p>
    <w:p w14:paraId="3E8B6B26" w14:textId="77777777" w:rsidR="00B93B38" w:rsidRPr="00316C4F" w:rsidRDefault="00B93B38" w:rsidP="00B93B38">
      <w:pPr>
        <w:pStyle w:val="TOCHeading"/>
      </w:pPr>
      <w:r w:rsidRPr="00316C4F">
        <w:t>List of Figures</w:t>
      </w:r>
    </w:p>
    <w:bookmarkStart w:id="2" w:name="_Hlk527442265"/>
    <w:p w14:paraId="7B16A2D3" w14:textId="6544AC19" w:rsidR="00923D15" w:rsidRDefault="00B93B38">
      <w:pPr>
        <w:pStyle w:val="TableofFigures"/>
        <w:rPr>
          <w:rFonts w:eastAsiaTheme="minorEastAsia"/>
          <w:color w:val="auto"/>
          <w:kern w:val="2"/>
          <w:sz w:val="24"/>
          <w:szCs w:val="24"/>
          <w:lang w:eastAsia="en-AU"/>
          <w14:ligatures w14:val="standardContextual"/>
        </w:rPr>
      </w:pPr>
      <w:r w:rsidRPr="002A6E3A">
        <w:fldChar w:fldCharType="begin"/>
      </w:r>
      <w:r w:rsidRPr="002A6E3A">
        <w:instrText xml:space="preserve"> TOC \h \z \t "Figure Caption" \c </w:instrText>
      </w:r>
      <w:r w:rsidRPr="002A6E3A">
        <w:fldChar w:fldCharType="separate"/>
      </w:r>
      <w:hyperlink w:anchor="_Toc164411262" w:history="1">
        <w:r w:rsidR="00923D15" w:rsidRPr="003615CF">
          <w:rPr>
            <w:rStyle w:val="Hyperlink"/>
          </w:rPr>
          <w:t>Figure 1</w:t>
        </w:r>
        <w:r w:rsidR="00923D15" w:rsidRPr="003615CF">
          <w:rPr>
            <w:rStyle w:val="Hyperlink"/>
          </w:rPr>
          <w:noBreakHyphen/>
          <w:t>1</w:t>
        </w:r>
        <w:r w:rsidR="00923D15">
          <w:rPr>
            <w:rFonts w:eastAsiaTheme="minorEastAsia"/>
            <w:color w:val="auto"/>
            <w:kern w:val="2"/>
            <w:sz w:val="24"/>
            <w:szCs w:val="24"/>
            <w:lang w:eastAsia="en-AU"/>
            <w14:ligatures w14:val="standardContextual"/>
          </w:rPr>
          <w:tab/>
        </w:r>
        <w:r w:rsidR="00923D15" w:rsidRPr="003615CF">
          <w:rPr>
            <w:rStyle w:val="Hyperlink"/>
          </w:rPr>
          <w:t>Princess Royal Harbour Study Area</w:t>
        </w:r>
        <w:r w:rsidR="00923D15">
          <w:rPr>
            <w:webHidden/>
          </w:rPr>
          <w:tab/>
        </w:r>
        <w:r w:rsidR="00923D15">
          <w:rPr>
            <w:webHidden/>
          </w:rPr>
          <w:fldChar w:fldCharType="begin"/>
        </w:r>
        <w:r w:rsidR="00923D15">
          <w:rPr>
            <w:webHidden/>
          </w:rPr>
          <w:instrText xml:space="preserve"> PAGEREF _Toc164411262 \h </w:instrText>
        </w:r>
        <w:r w:rsidR="00923D15">
          <w:rPr>
            <w:webHidden/>
          </w:rPr>
        </w:r>
        <w:r w:rsidR="00923D15">
          <w:rPr>
            <w:webHidden/>
          </w:rPr>
          <w:fldChar w:fldCharType="separate"/>
        </w:r>
        <w:r w:rsidR="00615155">
          <w:rPr>
            <w:webHidden/>
          </w:rPr>
          <w:t>11</w:t>
        </w:r>
        <w:r w:rsidR="00923D15">
          <w:rPr>
            <w:webHidden/>
          </w:rPr>
          <w:fldChar w:fldCharType="end"/>
        </w:r>
      </w:hyperlink>
    </w:p>
    <w:p w14:paraId="2E717110" w14:textId="5F31257B" w:rsidR="00923D15" w:rsidRDefault="00052E37">
      <w:pPr>
        <w:pStyle w:val="TableofFigures"/>
        <w:rPr>
          <w:rFonts w:eastAsiaTheme="minorEastAsia"/>
          <w:color w:val="auto"/>
          <w:kern w:val="2"/>
          <w:sz w:val="24"/>
          <w:szCs w:val="24"/>
          <w:lang w:eastAsia="en-AU"/>
          <w14:ligatures w14:val="standardContextual"/>
        </w:rPr>
      </w:pPr>
      <w:hyperlink w:anchor="_Toc164411263" w:history="1">
        <w:r w:rsidR="00923D15" w:rsidRPr="003615CF">
          <w:rPr>
            <w:rStyle w:val="Hyperlink"/>
          </w:rPr>
          <w:t>Figure 1</w:t>
        </w:r>
        <w:r w:rsidR="00923D15" w:rsidRPr="003615CF">
          <w:rPr>
            <w:rStyle w:val="Hyperlink"/>
          </w:rPr>
          <w:noBreakHyphen/>
          <w:t>2</w:t>
        </w:r>
        <w:r w:rsidR="00923D15">
          <w:rPr>
            <w:rFonts w:eastAsiaTheme="minorEastAsia"/>
            <w:color w:val="auto"/>
            <w:kern w:val="2"/>
            <w:sz w:val="24"/>
            <w:szCs w:val="24"/>
            <w:lang w:eastAsia="en-AU"/>
            <w14:ligatures w14:val="standardContextual"/>
          </w:rPr>
          <w:tab/>
        </w:r>
        <w:r w:rsidR="00923D15" w:rsidRPr="003615CF">
          <w:rPr>
            <w:rStyle w:val="Hyperlink"/>
          </w:rPr>
          <w:t>Methodology</w:t>
        </w:r>
        <w:r w:rsidR="00923D15">
          <w:rPr>
            <w:webHidden/>
          </w:rPr>
          <w:tab/>
        </w:r>
        <w:r w:rsidR="00923D15">
          <w:rPr>
            <w:webHidden/>
          </w:rPr>
          <w:fldChar w:fldCharType="begin"/>
        </w:r>
        <w:r w:rsidR="00923D15">
          <w:rPr>
            <w:webHidden/>
          </w:rPr>
          <w:instrText xml:space="preserve"> PAGEREF _Toc164411263 \h </w:instrText>
        </w:r>
        <w:r w:rsidR="00923D15">
          <w:rPr>
            <w:webHidden/>
          </w:rPr>
        </w:r>
        <w:r w:rsidR="00923D15">
          <w:rPr>
            <w:webHidden/>
          </w:rPr>
          <w:fldChar w:fldCharType="separate"/>
        </w:r>
        <w:r w:rsidR="00615155">
          <w:rPr>
            <w:webHidden/>
          </w:rPr>
          <w:t>12</w:t>
        </w:r>
        <w:r w:rsidR="00923D15">
          <w:rPr>
            <w:webHidden/>
          </w:rPr>
          <w:fldChar w:fldCharType="end"/>
        </w:r>
      </w:hyperlink>
    </w:p>
    <w:p w14:paraId="510B48C1" w14:textId="20B1BCF4" w:rsidR="00923D15" w:rsidRDefault="00052E37">
      <w:pPr>
        <w:pStyle w:val="TableofFigures"/>
        <w:rPr>
          <w:rFonts w:eastAsiaTheme="minorEastAsia"/>
          <w:color w:val="auto"/>
          <w:kern w:val="2"/>
          <w:sz w:val="24"/>
          <w:szCs w:val="24"/>
          <w:lang w:eastAsia="en-AU"/>
          <w14:ligatures w14:val="standardContextual"/>
        </w:rPr>
      </w:pPr>
      <w:hyperlink w:anchor="_Toc164411264" w:history="1">
        <w:r w:rsidR="00923D15" w:rsidRPr="003615CF">
          <w:rPr>
            <w:rStyle w:val="Hyperlink"/>
          </w:rPr>
          <w:t>Figure 2</w:t>
        </w:r>
        <w:r w:rsidR="00923D15" w:rsidRPr="003615CF">
          <w:rPr>
            <w:rStyle w:val="Hyperlink"/>
          </w:rPr>
          <w:noBreakHyphen/>
          <w:t>1</w:t>
        </w:r>
        <w:r w:rsidR="00923D15">
          <w:rPr>
            <w:rFonts w:eastAsiaTheme="minorEastAsia"/>
            <w:color w:val="auto"/>
            <w:kern w:val="2"/>
            <w:sz w:val="24"/>
            <w:szCs w:val="24"/>
            <w:lang w:eastAsia="en-AU"/>
            <w14:ligatures w14:val="standardContextual"/>
          </w:rPr>
          <w:tab/>
        </w:r>
        <w:r w:rsidR="00923D15" w:rsidRPr="003615CF">
          <w:rPr>
            <w:rStyle w:val="Hyperlink"/>
          </w:rPr>
          <w:t>State Planning Framework for Western Australia</w:t>
        </w:r>
        <w:r w:rsidR="00923D15">
          <w:rPr>
            <w:webHidden/>
          </w:rPr>
          <w:tab/>
        </w:r>
        <w:r w:rsidR="00923D15">
          <w:rPr>
            <w:webHidden/>
          </w:rPr>
          <w:fldChar w:fldCharType="begin"/>
        </w:r>
        <w:r w:rsidR="00923D15">
          <w:rPr>
            <w:webHidden/>
          </w:rPr>
          <w:instrText xml:space="preserve"> PAGEREF _Toc164411264 \h </w:instrText>
        </w:r>
        <w:r w:rsidR="00923D15">
          <w:rPr>
            <w:webHidden/>
          </w:rPr>
        </w:r>
        <w:r w:rsidR="00923D15">
          <w:rPr>
            <w:webHidden/>
          </w:rPr>
          <w:fldChar w:fldCharType="separate"/>
        </w:r>
        <w:r w:rsidR="00615155">
          <w:rPr>
            <w:webHidden/>
          </w:rPr>
          <w:t>16</w:t>
        </w:r>
        <w:r w:rsidR="00923D15">
          <w:rPr>
            <w:webHidden/>
          </w:rPr>
          <w:fldChar w:fldCharType="end"/>
        </w:r>
      </w:hyperlink>
    </w:p>
    <w:p w14:paraId="38F2FB11" w14:textId="65A2D089" w:rsidR="00923D15" w:rsidRDefault="00052E37">
      <w:pPr>
        <w:pStyle w:val="TableofFigures"/>
        <w:rPr>
          <w:rFonts w:eastAsiaTheme="minorEastAsia"/>
          <w:color w:val="auto"/>
          <w:kern w:val="2"/>
          <w:sz w:val="24"/>
          <w:szCs w:val="24"/>
          <w:lang w:eastAsia="en-AU"/>
          <w14:ligatures w14:val="standardContextual"/>
        </w:rPr>
      </w:pPr>
      <w:hyperlink w:anchor="_Toc164411265" w:history="1">
        <w:r w:rsidR="00923D15" w:rsidRPr="003615CF">
          <w:rPr>
            <w:rStyle w:val="Hyperlink"/>
          </w:rPr>
          <w:t>Figure 2</w:t>
        </w:r>
        <w:r w:rsidR="00923D15" w:rsidRPr="003615CF">
          <w:rPr>
            <w:rStyle w:val="Hyperlink"/>
          </w:rPr>
          <w:noBreakHyphen/>
          <w:t>2</w:t>
        </w:r>
        <w:r w:rsidR="00923D15">
          <w:rPr>
            <w:rFonts w:eastAsiaTheme="minorEastAsia"/>
            <w:color w:val="auto"/>
            <w:kern w:val="2"/>
            <w:sz w:val="24"/>
            <w:szCs w:val="24"/>
            <w:lang w:eastAsia="en-AU"/>
            <w14:ligatures w14:val="standardContextual"/>
          </w:rPr>
          <w:tab/>
        </w:r>
        <w:r w:rsidR="00923D15" w:rsidRPr="003615CF">
          <w:rPr>
            <w:rStyle w:val="Hyperlink"/>
          </w:rPr>
          <w:t>Policy Relationships</w:t>
        </w:r>
        <w:r w:rsidR="00923D15">
          <w:rPr>
            <w:webHidden/>
          </w:rPr>
          <w:tab/>
        </w:r>
        <w:r w:rsidR="00923D15">
          <w:rPr>
            <w:webHidden/>
          </w:rPr>
          <w:fldChar w:fldCharType="begin"/>
        </w:r>
        <w:r w:rsidR="00923D15">
          <w:rPr>
            <w:webHidden/>
          </w:rPr>
          <w:instrText xml:space="preserve"> PAGEREF _Toc164411265 \h </w:instrText>
        </w:r>
        <w:r w:rsidR="00923D15">
          <w:rPr>
            <w:webHidden/>
          </w:rPr>
        </w:r>
        <w:r w:rsidR="00923D15">
          <w:rPr>
            <w:webHidden/>
          </w:rPr>
          <w:fldChar w:fldCharType="separate"/>
        </w:r>
        <w:r w:rsidR="00615155">
          <w:rPr>
            <w:webHidden/>
          </w:rPr>
          <w:t>17</w:t>
        </w:r>
        <w:r w:rsidR="00923D15">
          <w:rPr>
            <w:webHidden/>
          </w:rPr>
          <w:fldChar w:fldCharType="end"/>
        </w:r>
      </w:hyperlink>
    </w:p>
    <w:p w14:paraId="5C9684AE" w14:textId="6473F5BF" w:rsidR="00923D15" w:rsidRDefault="00052E37">
      <w:pPr>
        <w:pStyle w:val="TableofFigures"/>
        <w:rPr>
          <w:rFonts w:eastAsiaTheme="minorEastAsia"/>
          <w:color w:val="auto"/>
          <w:kern w:val="2"/>
          <w:sz w:val="24"/>
          <w:szCs w:val="24"/>
          <w:lang w:eastAsia="en-AU"/>
          <w14:ligatures w14:val="standardContextual"/>
        </w:rPr>
      </w:pPr>
      <w:hyperlink w:anchor="_Toc164411266" w:history="1">
        <w:r w:rsidR="00923D15" w:rsidRPr="003615CF">
          <w:rPr>
            <w:rStyle w:val="Hyperlink"/>
          </w:rPr>
          <w:t>Figure 5</w:t>
        </w:r>
        <w:r w:rsidR="00923D15" w:rsidRPr="003615CF">
          <w:rPr>
            <w:rStyle w:val="Hyperlink"/>
          </w:rPr>
          <w:noBreakHyphen/>
          <w:t>1</w:t>
        </w:r>
        <w:r w:rsidR="00923D15">
          <w:rPr>
            <w:rFonts w:eastAsiaTheme="minorEastAsia"/>
            <w:color w:val="auto"/>
            <w:kern w:val="2"/>
            <w:sz w:val="24"/>
            <w:szCs w:val="24"/>
            <w:lang w:eastAsia="en-AU"/>
            <w14:ligatures w14:val="standardContextual"/>
          </w:rPr>
          <w:tab/>
        </w:r>
        <w:r w:rsidR="00923D15" w:rsidRPr="003615CF">
          <w:rPr>
            <w:rStyle w:val="Hyperlink"/>
          </w:rPr>
          <w:t>Vulnerability assessment components (reproduced from Allen Consulting, 2005)</w:t>
        </w:r>
        <w:r w:rsidR="00923D15">
          <w:rPr>
            <w:webHidden/>
          </w:rPr>
          <w:tab/>
        </w:r>
        <w:r w:rsidR="00923D15">
          <w:rPr>
            <w:webHidden/>
          </w:rPr>
          <w:fldChar w:fldCharType="begin"/>
        </w:r>
        <w:r w:rsidR="00923D15">
          <w:rPr>
            <w:webHidden/>
          </w:rPr>
          <w:instrText xml:space="preserve"> PAGEREF _Toc164411266 \h </w:instrText>
        </w:r>
        <w:r w:rsidR="00923D15">
          <w:rPr>
            <w:webHidden/>
          </w:rPr>
        </w:r>
        <w:r w:rsidR="00923D15">
          <w:rPr>
            <w:webHidden/>
          </w:rPr>
          <w:fldChar w:fldCharType="separate"/>
        </w:r>
        <w:r w:rsidR="00615155">
          <w:rPr>
            <w:webHidden/>
          </w:rPr>
          <w:t>25</w:t>
        </w:r>
        <w:r w:rsidR="00923D15">
          <w:rPr>
            <w:webHidden/>
          </w:rPr>
          <w:fldChar w:fldCharType="end"/>
        </w:r>
      </w:hyperlink>
    </w:p>
    <w:p w14:paraId="156CE852" w14:textId="5BA75835" w:rsidR="00923D15" w:rsidRDefault="00052E37">
      <w:pPr>
        <w:pStyle w:val="TableofFigures"/>
        <w:rPr>
          <w:rFonts w:eastAsiaTheme="minorEastAsia"/>
          <w:color w:val="auto"/>
          <w:kern w:val="2"/>
          <w:sz w:val="24"/>
          <w:szCs w:val="24"/>
          <w:lang w:eastAsia="en-AU"/>
          <w14:ligatures w14:val="standardContextual"/>
        </w:rPr>
      </w:pPr>
      <w:hyperlink w:anchor="_Toc164411267" w:history="1">
        <w:r w:rsidR="00923D15" w:rsidRPr="003615CF">
          <w:rPr>
            <w:rStyle w:val="Hyperlink"/>
          </w:rPr>
          <w:t>Figure 5</w:t>
        </w:r>
        <w:r w:rsidR="00923D15" w:rsidRPr="003615CF">
          <w:rPr>
            <w:rStyle w:val="Hyperlink"/>
          </w:rPr>
          <w:noBreakHyphen/>
          <w:t>2</w:t>
        </w:r>
        <w:r w:rsidR="00923D15">
          <w:rPr>
            <w:rFonts w:eastAsiaTheme="minorEastAsia"/>
            <w:color w:val="auto"/>
            <w:kern w:val="2"/>
            <w:sz w:val="24"/>
            <w:szCs w:val="24"/>
            <w:lang w:eastAsia="en-AU"/>
            <w14:ligatures w14:val="standardContextual"/>
          </w:rPr>
          <w:tab/>
        </w:r>
        <w:r w:rsidR="00923D15" w:rsidRPr="003615CF">
          <w:rPr>
            <w:rStyle w:val="Hyperlink"/>
          </w:rPr>
          <w:t>Vulnerability relationship</w:t>
        </w:r>
        <w:r w:rsidR="00923D15">
          <w:rPr>
            <w:webHidden/>
          </w:rPr>
          <w:tab/>
        </w:r>
        <w:r w:rsidR="00923D15">
          <w:rPr>
            <w:webHidden/>
          </w:rPr>
          <w:fldChar w:fldCharType="begin"/>
        </w:r>
        <w:r w:rsidR="00923D15">
          <w:rPr>
            <w:webHidden/>
          </w:rPr>
          <w:instrText xml:space="preserve"> PAGEREF _Toc164411267 \h </w:instrText>
        </w:r>
        <w:r w:rsidR="00923D15">
          <w:rPr>
            <w:webHidden/>
          </w:rPr>
        </w:r>
        <w:r w:rsidR="00923D15">
          <w:rPr>
            <w:webHidden/>
          </w:rPr>
          <w:fldChar w:fldCharType="separate"/>
        </w:r>
        <w:r w:rsidR="00615155">
          <w:rPr>
            <w:webHidden/>
          </w:rPr>
          <w:t>28</w:t>
        </w:r>
        <w:r w:rsidR="00923D15">
          <w:rPr>
            <w:webHidden/>
          </w:rPr>
          <w:fldChar w:fldCharType="end"/>
        </w:r>
      </w:hyperlink>
    </w:p>
    <w:p w14:paraId="0E1954DA" w14:textId="233077B3" w:rsidR="00923D15" w:rsidRDefault="00052E37">
      <w:pPr>
        <w:pStyle w:val="TableofFigures"/>
        <w:rPr>
          <w:rFonts w:eastAsiaTheme="minorEastAsia"/>
          <w:color w:val="auto"/>
          <w:kern w:val="2"/>
          <w:sz w:val="24"/>
          <w:szCs w:val="24"/>
          <w:lang w:eastAsia="en-AU"/>
          <w14:ligatures w14:val="standardContextual"/>
        </w:rPr>
      </w:pPr>
      <w:hyperlink w:anchor="_Toc164411268" w:history="1">
        <w:r w:rsidR="00923D15" w:rsidRPr="003615CF">
          <w:rPr>
            <w:rStyle w:val="Hyperlink"/>
          </w:rPr>
          <w:t>Figure 6</w:t>
        </w:r>
        <w:r w:rsidR="00923D15" w:rsidRPr="003615CF">
          <w:rPr>
            <w:rStyle w:val="Hyperlink"/>
          </w:rPr>
          <w:noBreakHyphen/>
          <w:t>1</w:t>
        </w:r>
        <w:r w:rsidR="00923D15">
          <w:rPr>
            <w:rFonts w:eastAsiaTheme="minorEastAsia"/>
            <w:color w:val="auto"/>
            <w:kern w:val="2"/>
            <w:sz w:val="24"/>
            <w:szCs w:val="24"/>
            <w:lang w:eastAsia="en-AU"/>
            <w14:ligatures w14:val="standardContextual"/>
          </w:rPr>
          <w:tab/>
        </w:r>
        <w:r w:rsidR="00923D15" w:rsidRPr="003615CF">
          <w:rPr>
            <w:rStyle w:val="Hyperlink"/>
          </w:rPr>
          <w:t>Coastal hazard risk management and adaptation planning hierarchy (adapted from WAPC, 2019)</w:t>
        </w:r>
        <w:r w:rsidR="00923D15">
          <w:rPr>
            <w:webHidden/>
          </w:rPr>
          <w:tab/>
        </w:r>
        <w:r w:rsidR="00923D15">
          <w:rPr>
            <w:webHidden/>
          </w:rPr>
          <w:fldChar w:fldCharType="begin"/>
        </w:r>
        <w:r w:rsidR="00923D15">
          <w:rPr>
            <w:webHidden/>
          </w:rPr>
          <w:instrText xml:space="preserve"> PAGEREF _Toc164411268 \h </w:instrText>
        </w:r>
        <w:r w:rsidR="00923D15">
          <w:rPr>
            <w:webHidden/>
          </w:rPr>
        </w:r>
        <w:r w:rsidR="00923D15">
          <w:rPr>
            <w:webHidden/>
          </w:rPr>
          <w:fldChar w:fldCharType="separate"/>
        </w:r>
        <w:r w:rsidR="00615155">
          <w:rPr>
            <w:webHidden/>
          </w:rPr>
          <w:t>34</w:t>
        </w:r>
        <w:r w:rsidR="00923D15">
          <w:rPr>
            <w:webHidden/>
          </w:rPr>
          <w:fldChar w:fldCharType="end"/>
        </w:r>
      </w:hyperlink>
    </w:p>
    <w:p w14:paraId="7CD8F879" w14:textId="7B1E8E61" w:rsidR="00923D15" w:rsidRDefault="00052E37">
      <w:pPr>
        <w:pStyle w:val="TableofFigures"/>
        <w:rPr>
          <w:rFonts w:eastAsiaTheme="minorEastAsia"/>
          <w:color w:val="auto"/>
          <w:kern w:val="2"/>
          <w:sz w:val="24"/>
          <w:szCs w:val="24"/>
          <w:lang w:eastAsia="en-AU"/>
          <w14:ligatures w14:val="standardContextual"/>
        </w:rPr>
      </w:pPr>
      <w:hyperlink w:anchor="_Toc164411269" w:history="1">
        <w:r w:rsidR="00923D15" w:rsidRPr="003615CF">
          <w:rPr>
            <w:rStyle w:val="Hyperlink"/>
          </w:rPr>
          <w:t>Figure 8</w:t>
        </w:r>
        <w:r w:rsidR="00923D15" w:rsidRPr="003615CF">
          <w:rPr>
            <w:rStyle w:val="Hyperlink"/>
          </w:rPr>
          <w:noBreakHyphen/>
          <w:t>1</w:t>
        </w:r>
        <w:r w:rsidR="00923D15">
          <w:rPr>
            <w:rFonts w:eastAsiaTheme="minorEastAsia"/>
            <w:color w:val="auto"/>
            <w:kern w:val="2"/>
            <w:sz w:val="24"/>
            <w:szCs w:val="24"/>
            <w:lang w:eastAsia="en-AU"/>
            <w14:ligatures w14:val="standardContextual"/>
          </w:rPr>
          <w:tab/>
        </w:r>
        <w:r w:rsidR="00923D15" w:rsidRPr="003615CF">
          <w:rPr>
            <w:rStyle w:val="Hyperlink"/>
          </w:rPr>
          <w:t>Beach nourishment underway at Sunshine Coast, QLD</w:t>
        </w:r>
        <w:r w:rsidR="00923D15">
          <w:rPr>
            <w:webHidden/>
          </w:rPr>
          <w:tab/>
        </w:r>
        <w:r w:rsidR="00923D15">
          <w:rPr>
            <w:webHidden/>
          </w:rPr>
          <w:fldChar w:fldCharType="begin"/>
        </w:r>
        <w:r w:rsidR="00923D15">
          <w:rPr>
            <w:webHidden/>
          </w:rPr>
          <w:instrText xml:space="preserve"> PAGEREF _Toc164411269 \h </w:instrText>
        </w:r>
        <w:r w:rsidR="00923D15">
          <w:rPr>
            <w:webHidden/>
          </w:rPr>
        </w:r>
        <w:r w:rsidR="00923D15">
          <w:rPr>
            <w:webHidden/>
          </w:rPr>
          <w:fldChar w:fldCharType="separate"/>
        </w:r>
        <w:r w:rsidR="00615155">
          <w:rPr>
            <w:webHidden/>
          </w:rPr>
          <w:t>57</w:t>
        </w:r>
        <w:r w:rsidR="00923D15">
          <w:rPr>
            <w:webHidden/>
          </w:rPr>
          <w:fldChar w:fldCharType="end"/>
        </w:r>
      </w:hyperlink>
    </w:p>
    <w:p w14:paraId="2AC12C86" w14:textId="4C70DB77" w:rsidR="00923D15" w:rsidRDefault="00052E37">
      <w:pPr>
        <w:pStyle w:val="TableofFigures"/>
        <w:rPr>
          <w:rFonts w:eastAsiaTheme="minorEastAsia"/>
          <w:color w:val="auto"/>
          <w:kern w:val="2"/>
          <w:sz w:val="24"/>
          <w:szCs w:val="24"/>
          <w:lang w:eastAsia="en-AU"/>
          <w14:ligatures w14:val="standardContextual"/>
        </w:rPr>
      </w:pPr>
      <w:hyperlink w:anchor="_Toc164411270" w:history="1">
        <w:r w:rsidR="00923D15" w:rsidRPr="003615CF">
          <w:rPr>
            <w:rStyle w:val="Hyperlink"/>
          </w:rPr>
          <w:t>Figure 8</w:t>
        </w:r>
        <w:r w:rsidR="00923D15" w:rsidRPr="003615CF">
          <w:rPr>
            <w:rStyle w:val="Hyperlink"/>
          </w:rPr>
          <w:noBreakHyphen/>
          <w:t>2</w:t>
        </w:r>
        <w:r w:rsidR="00923D15">
          <w:rPr>
            <w:rFonts w:eastAsiaTheme="minorEastAsia"/>
            <w:color w:val="auto"/>
            <w:kern w:val="2"/>
            <w:sz w:val="24"/>
            <w:szCs w:val="24"/>
            <w:lang w:eastAsia="en-AU"/>
            <w14:ligatures w14:val="standardContextual"/>
          </w:rPr>
          <w:tab/>
        </w:r>
        <w:r w:rsidR="00923D15" w:rsidRPr="003615CF">
          <w:rPr>
            <w:rStyle w:val="Hyperlink"/>
          </w:rPr>
          <w:t>Typical earth levee design, (SES 2022)</w:t>
        </w:r>
        <w:r w:rsidR="00923D15">
          <w:rPr>
            <w:webHidden/>
          </w:rPr>
          <w:tab/>
        </w:r>
        <w:r w:rsidR="00923D15">
          <w:rPr>
            <w:webHidden/>
          </w:rPr>
          <w:fldChar w:fldCharType="begin"/>
        </w:r>
        <w:r w:rsidR="00923D15">
          <w:rPr>
            <w:webHidden/>
          </w:rPr>
          <w:instrText xml:space="preserve"> PAGEREF _Toc164411270 \h </w:instrText>
        </w:r>
        <w:r w:rsidR="00923D15">
          <w:rPr>
            <w:webHidden/>
          </w:rPr>
        </w:r>
        <w:r w:rsidR="00923D15">
          <w:rPr>
            <w:webHidden/>
          </w:rPr>
          <w:fldChar w:fldCharType="separate"/>
        </w:r>
        <w:r w:rsidR="00615155">
          <w:rPr>
            <w:webHidden/>
          </w:rPr>
          <w:t>58</w:t>
        </w:r>
        <w:r w:rsidR="00923D15">
          <w:rPr>
            <w:webHidden/>
          </w:rPr>
          <w:fldChar w:fldCharType="end"/>
        </w:r>
      </w:hyperlink>
    </w:p>
    <w:p w14:paraId="4FD5E02E" w14:textId="3C8BBB72" w:rsidR="00923D15" w:rsidRDefault="00052E37">
      <w:pPr>
        <w:pStyle w:val="TableofFigures"/>
        <w:rPr>
          <w:rFonts w:eastAsiaTheme="minorEastAsia"/>
          <w:color w:val="auto"/>
          <w:kern w:val="2"/>
          <w:sz w:val="24"/>
          <w:szCs w:val="24"/>
          <w:lang w:eastAsia="en-AU"/>
          <w14:ligatures w14:val="standardContextual"/>
        </w:rPr>
      </w:pPr>
      <w:hyperlink w:anchor="_Toc164411271" w:history="1">
        <w:r w:rsidR="00923D15" w:rsidRPr="003615CF">
          <w:rPr>
            <w:rStyle w:val="Hyperlink"/>
          </w:rPr>
          <w:t>Figure 8</w:t>
        </w:r>
        <w:r w:rsidR="00923D15" w:rsidRPr="003615CF">
          <w:rPr>
            <w:rStyle w:val="Hyperlink"/>
          </w:rPr>
          <w:noBreakHyphen/>
          <w:t>3</w:t>
        </w:r>
        <w:r w:rsidR="00923D15">
          <w:rPr>
            <w:rFonts w:eastAsiaTheme="minorEastAsia"/>
            <w:color w:val="auto"/>
            <w:kern w:val="2"/>
            <w:sz w:val="24"/>
            <w:szCs w:val="24"/>
            <w:lang w:eastAsia="en-AU"/>
            <w14:ligatures w14:val="standardContextual"/>
          </w:rPr>
          <w:tab/>
        </w:r>
        <w:r w:rsidR="00923D15" w:rsidRPr="003615CF">
          <w:rPr>
            <w:rStyle w:val="Hyperlink"/>
          </w:rPr>
          <w:t>Earth levee example from the Netherlands (California Water Blog, 2015)</w:t>
        </w:r>
        <w:r w:rsidR="00923D15">
          <w:rPr>
            <w:webHidden/>
          </w:rPr>
          <w:tab/>
        </w:r>
        <w:r w:rsidR="00923D15">
          <w:rPr>
            <w:webHidden/>
          </w:rPr>
          <w:fldChar w:fldCharType="begin"/>
        </w:r>
        <w:r w:rsidR="00923D15">
          <w:rPr>
            <w:webHidden/>
          </w:rPr>
          <w:instrText xml:space="preserve"> PAGEREF _Toc164411271 \h </w:instrText>
        </w:r>
        <w:r w:rsidR="00923D15">
          <w:rPr>
            <w:webHidden/>
          </w:rPr>
        </w:r>
        <w:r w:rsidR="00923D15">
          <w:rPr>
            <w:webHidden/>
          </w:rPr>
          <w:fldChar w:fldCharType="separate"/>
        </w:r>
        <w:r w:rsidR="00615155">
          <w:rPr>
            <w:webHidden/>
          </w:rPr>
          <w:t>58</w:t>
        </w:r>
        <w:r w:rsidR="00923D15">
          <w:rPr>
            <w:webHidden/>
          </w:rPr>
          <w:fldChar w:fldCharType="end"/>
        </w:r>
      </w:hyperlink>
    </w:p>
    <w:p w14:paraId="5B0613D5" w14:textId="5970D86B" w:rsidR="00923D15" w:rsidRDefault="00052E37">
      <w:pPr>
        <w:pStyle w:val="TableofFigures"/>
        <w:rPr>
          <w:rFonts w:eastAsiaTheme="minorEastAsia"/>
          <w:color w:val="auto"/>
          <w:kern w:val="2"/>
          <w:sz w:val="24"/>
          <w:szCs w:val="24"/>
          <w:lang w:eastAsia="en-AU"/>
          <w14:ligatures w14:val="standardContextual"/>
        </w:rPr>
      </w:pPr>
      <w:hyperlink w:anchor="_Toc164411272" w:history="1">
        <w:r w:rsidR="00923D15" w:rsidRPr="003615CF">
          <w:rPr>
            <w:rStyle w:val="Hyperlink"/>
          </w:rPr>
          <w:t>Figure 8</w:t>
        </w:r>
        <w:r w:rsidR="00923D15" w:rsidRPr="003615CF">
          <w:rPr>
            <w:rStyle w:val="Hyperlink"/>
          </w:rPr>
          <w:noBreakHyphen/>
          <w:t>4</w:t>
        </w:r>
        <w:r w:rsidR="00923D15">
          <w:rPr>
            <w:rFonts w:eastAsiaTheme="minorEastAsia"/>
            <w:color w:val="auto"/>
            <w:kern w:val="2"/>
            <w:sz w:val="24"/>
            <w:szCs w:val="24"/>
            <w:lang w:eastAsia="en-AU"/>
            <w14:ligatures w14:val="standardContextual"/>
          </w:rPr>
          <w:tab/>
        </w:r>
        <w:r w:rsidR="00923D15" w:rsidRPr="003615CF">
          <w:rPr>
            <w:rStyle w:val="Hyperlink"/>
          </w:rPr>
          <w:t>Princess Royal Harbour Study Area</w:t>
        </w:r>
        <w:r w:rsidR="00923D15">
          <w:rPr>
            <w:webHidden/>
          </w:rPr>
          <w:tab/>
        </w:r>
        <w:r w:rsidR="00923D15">
          <w:rPr>
            <w:webHidden/>
          </w:rPr>
          <w:fldChar w:fldCharType="begin"/>
        </w:r>
        <w:r w:rsidR="00923D15">
          <w:rPr>
            <w:webHidden/>
          </w:rPr>
          <w:instrText xml:space="preserve"> PAGEREF _Toc164411272 \h </w:instrText>
        </w:r>
        <w:r w:rsidR="00923D15">
          <w:rPr>
            <w:webHidden/>
          </w:rPr>
        </w:r>
        <w:r w:rsidR="00923D15">
          <w:rPr>
            <w:webHidden/>
          </w:rPr>
          <w:fldChar w:fldCharType="separate"/>
        </w:r>
        <w:r w:rsidR="00615155">
          <w:rPr>
            <w:webHidden/>
          </w:rPr>
          <w:t>63</w:t>
        </w:r>
        <w:r w:rsidR="00923D15">
          <w:rPr>
            <w:webHidden/>
          </w:rPr>
          <w:fldChar w:fldCharType="end"/>
        </w:r>
      </w:hyperlink>
    </w:p>
    <w:p w14:paraId="059A55AB" w14:textId="145BDCF8" w:rsidR="00B93B38" w:rsidRPr="002A6E3A" w:rsidRDefault="00B93B38" w:rsidP="00B93B38">
      <w:pPr>
        <w:pStyle w:val="TableofFigures"/>
      </w:pPr>
      <w:r w:rsidRPr="002A6E3A">
        <w:fldChar w:fldCharType="end"/>
      </w:r>
    </w:p>
    <w:bookmarkEnd w:id="2"/>
    <w:p w14:paraId="69E54809" w14:textId="77777777" w:rsidR="00B93B38" w:rsidRPr="00316C4F" w:rsidRDefault="00B93B38" w:rsidP="00B93B38">
      <w:pPr>
        <w:pStyle w:val="TOCHeading"/>
      </w:pPr>
      <w:r w:rsidRPr="00316C4F">
        <w:t>List of Tables</w:t>
      </w:r>
    </w:p>
    <w:p w14:paraId="760F3C82" w14:textId="6051E03D" w:rsidR="00923D15" w:rsidRDefault="00B93B38">
      <w:pPr>
        <w:pStyle w:val="TableofFigures"/>
        <w:rPr>
          <w:rFonts w:eastAsiaTheme="minorEastAsia"/>
          <w:color w:val="auto"/>
          <w:kern w:val="2"/>
          <w:sz w:val="24"/>
          <w:szCs w:val="24"/>
          <w:lang w:eastAsia="en-AU"/>
          <w14:ligatures w14:val="standardContextual"/>
        </w:rPr>
      </w:pPr>
      <w:r w:rsidRPr="002A6E3A">
        <w:fldChar w:fldCharType="begin"/>
      </w:r>
      <w:r w:rsidRPr="002A6E3A">
        <w:instrText xml:space="preserve"> TOC \h \z \t "Table Caption" \c </w:instrText>
      </w:r>
      <w:r w:rsidRPr="002A6E3A">
        <w:fldChar w:fldCharType="separate"/>
      </w:r>
      <w:hyperlink w:anchor="_Toc164411273" w:history="1">
        <w:r w:rsidR="00923D15" w:rsidRPr="00844681">
          <w:rPr>
            <w:rStyle w:val="Hyperlink"/>
          </w:rPr>
          <w:t>Table 2</w:t>
        </w:r>
        <w:r w:rsidR="00923D15" w:rsidRPr="00844681">
          <w:rPr>
            <w:rStyle w:val="Hyperlink"/>
          </w:rPr>
          <w:noBreakHyphen/>
          <w:t>1</w:t>
        </w:r>
        <w:r w:rsidR="00923D15">
          <w:rPr>
            <w:rFonts w:eastAsiaTheme="minorEastAsia"/>
            <w:color w:val="auto"/>
            <w:kern w:val="2"/>
            <w:sz w:val="24"/>
            <w:szCs w:val="24"/>
            <w:lang w:eastAsia="en-AU"/>
            <w14:ligatures w14:val="standardContextual"/>
          </w:rPr>
          <w:tab/>
        </w:r>
        <w:r w:rsidR="00923D15" w:rsidRPr="00844681">
          <w:rPr>
            <w:rStyle w:val="Hyperlink"/>
          </w:rPr>
          <w:t>Summary of engagement activities</w:t>
        </w:r>
        <w:r w:rsidR="00923D15">
          <w:rPr>
            <w:webHidden/>
          </w:rPr>
          <w:tab/>
        </w:r>
        <w:r w:rsidR="00923D15">
          <w:rPr>
            <w:webHidden/>
          </w:rPr>
          <w:fldChar w:fldCharType="begin"/>
        </w:r>
        <w:r w:rsidR="00923D15">
          <w:rPr>
            <w:webHidden/>
          </w:rPr>
          <w:instrText xml:space="preserve"> PAGEREF _Toc164411273 \h </w:instrText>
        </w:r>
        <w:r w:rsidR="00923D15">
          <w:rPr>
            <w:webHidden/>
          </w:rPr>
        </w:r>
        <w:r w:rsidR="00923D15">
          <w:rPr>
            <w:webHidden/>
          </w:rPr>
          <w:fldChar w:fldCharType="separate"/>
        </w:r>
        <w:r w:rsidR="00923D15">
          <w:rPr>
            <w:webHidden/>
          </w:rPr>
          <w:t>21</w:t>
        </w:r>
        <w:r w:rsidR="00923D15">
          <w:rPr>
            <w:webHidden/>
          </w:rPr>
          <w:fldChar w:fldCharType="end"/>
        </w:r>
      </w:hyperlink>
    </w:p>
    <w:p w14:paraId="4191379F" w14:textId="77DDBDAF" w:rsidR="00923D15" w:rsidRDefault="00052E37">
      <w:pPr>
        <w:pStyle w:val="TableofFigures"/>
        <w:rPr>
          <w:rFonts w:eastAsiaTheme="minorEastAsia"/>
          <w:color w:val="auto"/>
          <w:kern w:val="2"/>
          <w:sz w:val="24"/>
          <w:szCs w:val="24"/>
          <w:lang w:eastAsia="en-AU"/>
          <w14:ligatures w14:val="standardContextual"/>
        </w:rPr>
      </w:pPr>
      <w:hyperlink w:anchor="_Toc164411274" w:history="1">
        <w:r w:rsidR="00923D15" w:rsidRPr="00844681">
          <w:rPr>
            <w:rStyle w:val="Hyperlink"/>
          </w:rPr>
          <w:t>Table 4</w:t>
        </w:r>
        <w:r w:rsidR="00923D15" w:rsidRPr="00844681">
          <w:rPr>
            <w:rStyle w:val="Hyperlink"/>
          </w:rPr>
          <w:noBreakHyphen/>
          <w:t>1</w:t>
        </w:r>
        <w:r w:rsidR="00923D15">
          <w:rPr>
            <w:rFonts w:eastAsiaTheme="minorEastAsia"/>
            <w:color w:val="auto"/>
            <w:kern w:val="2"/>
            <w:sz w:val="24"/>
            <w:szCs w:val="24"/>
            <w:lang w:eastAsia="en-AU"/>
            <w14:ligatures w14:val="standardContextual"/>
          </w:rPr>
          <w:tab/>
        </w:r>
        <w:r w:rsidR="00923D15" w:rsidRPr="00844681">
          <w:rPr>
            <w:rStyle w:val="Hyperlink"/>
          </w:rPr>
          <w:t>Success criteria</w:t>
        </w:r>
        <w:r w:rsidR="00923D15">
          <w:rPr>
            <w:webHidden/>
          </w:rPr>
          <w:tab/>
        </w:r>
        <w:r w:rsidR="00923D15">
          <w:rPr>
            <w:webHidden/>
          </w:rPr>
          <w:fldChar w:fldCharType="begin"/>
        </w:r>
        <w:r w:rsidR="00923D15">
          <w:rPr>
            <w:webHidden/>
          </w:rPr>
          <w:instrText xml:space="preserve"> PAGEREF _Toc164411274 \h </w:instrText>
        </w:r>
        <w:r w:rsidR="00923D15">
          <w:rPr>
            <w:webHidden/>
          </w:rPr>
        </w:r>
        <w:r w:rsidR="00923D15">
          <w:rPr>
            <w:webHidden/>
          </w:rPr>
          <w:fldChar w:fldCharType="separate"/>
        </w:r>
        <w:r w:rsidR="00923D15">
          <w:rPr>
            <w:webHidden/>
          </w:rPr>
          <w:t>27</w:t>
        </w:r>
        <w:r w:rsidR="00923D15">
          <w:rPr>
            <w:webHidden/>
          </w:rPr>
          <w:fldChar w:fldCharType="end"/>
        </w:r>
      </w:hyperlink>
    </w:p>
    <w:p w14:paraId="7B0F93EB" w14:textId="3F0B16EB" w:rsidR="00923D15" w:rsidRDefault="00052E37">
      <w:pPr>
        <w:pStyle w:val="TableofFigures"/>
        <w:rPr>
          <w:rFonts w:eastAsiaTheme="minorEastAsia"/>
          <w:color w:val="auto"/>
          <w:kern w:val="2"/>
          <w:sz w:val="24"/>
          <w:szCs w:val="24"/>
          <w:lang w:eastAsia="en-AU"/>
          <w14:ligatures w14:val="standardContextual"/>
        </w:rPr>
      </w:pPr>
      <w:hyperlink w:anchor="_Toc164411275" w:history="1">
        <w:r w:rsidR="00923D15" w:rsidRPr="00844681">
          <w:rPr>
            <w:rStyle w:val="Hyperlink"/>
          </w:rPr>
          <w:t>Table 5</w:t>
        </w:r>
        <w:r w:rsidR="00923D15" w:rsidRPr="00844681">
          <w:rPr>
            <w:rStyle w:val="Hyperlink"/>
          </w:rPr>
          <w:noBreakHyphen/>
          <w:t>1</w:t>
        </w:r>
        <w:r w:rsidR="00923D15">
          <w:rPr>
            <w:rFonts w:eastAsiaTheme="minorEastAsia"/>
            <w:color w:val="auto"/>
            <w:kern w:val="2"/>
            <w:sz w:val="24"/>
            <w:szCs w:val="24"/>
            <w:lang w:eastAsia="en-AU"/>
            <w14:ligatures w14:val="standardContextual"/>
          </w:rPr>
          <w:tab/>
        </w:r>
        <w:r w:rsidR="00923D15" w:rsidRPr="00844681">
          <w:rPr>
            <w:rStyle w:val="Hyperlink"/>
          </w:rPr>
          <w:t>Exposure/Likelihood Rating</w:t>
        </w:r>
        <w:r w:rsidR="00923D15">
          <w:rPr>
            <w:webHidden/>
          </w:rPr>
          <w:tab/>
        </w:r>
        <w:r w:rsidR="00923D15">
          <w:rPr>
            <w:webHidden/>
          </w:rPr>
          <w:fldChar w:fldCharType="begin"/>
        </w:r>
        <w:r w:rsidR="00923D15">
          <w:rPr>
            <w:webHidden/>
          </w:rPr>
          <w:instrText xml:space="preserve"> PAGEREF _Toc164411275 \h </w:instrText>
        </w:r>
        <w:r w:rsidR="00923D15">
          <w:rPr>
            <w:webHidden/>
          </w:rPr>
        </w:r>
        <w:r w:rsidR="00923D15">
          <w:rPr>
            <w:webHidden/>
          </w:rPr>
          <w:fldChar w:fldCharType="separate"/>
        </w:r>
        <w:r w:rsidR="00923D15">
          <w:rPr>
            <w:webHidden/>
          </w:rPr>
          <w:t>29</w:t>
        </w:r>
        <w:r w:rsidR="00923D15">
          <w:rPr>
            <w:webHidden/>
          </w:rPr>
          <w:fldChar w:fldCharType="end"/>
        </w:r>
      </w:hyperlink>
    </w:p>
    <w:p w14:paraId="1FAA9150" w14:textId="36214BF0" w:rsidR="00923D15" w:rsidRDefault="00052E37">
      <w:pPr>
        <w:pStyle w:val="TableofFigures"/>
        <w:rPr>
          <w:rFonts w:eastAsiaTheme="minorEastAsia"/>
          <w:color w:val="auto"/>
          <w:kern w:val="2"/>
          <w:sz w:val="24"/>
          <w:szCs w:val="24"/>
          <w:lang w:eastAsia="en-AU"/>
          <w14:ligatures w14:val="standardContextual"/>
        </w:rPr>
      </w:pPr>
      <w:hyperlink w:anchor="_Toc164411276" w:history="1">
        <w:r w:rsidR="00923D15" w:rsidRPr="00844681">
          <w:rPr>
            <w:rStyle w:val="Hyperlink"/>
          </w:rPr>
          <w:t>Table 5</w:t>
        </w:r>
        <w:r w:rsidR="00923D15" w:rsidRPr="00844681">
          <w:rPr>
            <w:rStyle w:val="Hyperlink"/>
          </w:rPr>
          <w:noBreakHyphen/>
          <w:t>2</w:t>
        </w:r>
        <w:r w:rsidR="00923D15">
          <w:rPr>
            <w:rFonts w:eastAsiaTheme="minorEastAsia"/>
            <w:color w:val="auto"/>
            <w:kern w:val="2"/>
            <w:sz w:val="24"/>
            <w:szCs w:val="24"/>
            <w:lang w:eastAsia="en-AU"/>
            <w14:ligatures w14:val="standardContextual"/>
          </w:rPr>
          <w:tab/>
        </w:r>
        <w:r w:rsidR="00923D15" w:rsidRPr="00844681">
          <w:rPr>
            <w:rStyle w:val="Hyperlink"/>
          </w:rPr>
          <w:t>Sensitivity / Consequence ranking</w:t>
        </w:r>
        <w:r w:rsidR="00923D15">
          <w:rPr>
            <w:webHidden/>
          </w:rPr>
          <w:tab/>
        </w:r>
        <w:r w:rsidR="00923D15">
          <w:rPr>
            <w:webHidden/>
          </w:rPr>
          <w:fldChar w:fldCharType="begin"/>
        </w:r>
        <w:r w:rsidR="00923D15">
          <w:rPr>
            <w:webHidden/>
          </w:rPr>
          <w:instrText xml:space="preserve"> PAGEREF _Toc164411276 \h </w:instrText>
        </w:r>
        <w:r w:rsidR="00923D15">
          <w:rPr>
            <w:webHidden/>
          </w:rPr>
        </w:r>
        <w:r w:rsidR="00923D15">
          <w:rPr>
            <w:webHidden/>
          </w:rPr>
          <w:fldChar w:fldCharType="separate"/>
        </w:r>
        <w:r w:rsidR="00923D15">
          <w:rPr>
            <w:webHidden/>
          </w:rPr>
          <w:t>29</w:t>
        </w:r>
        <w:r w:rsidR="00923D15">
          <w:rPr>
            <w:webHidden/>
          </w:rPr>
          <w:fldChar w:fldCharType="end"/>
        </w:r>
      </w:hyperlink>
    </w:p>
    <w:p w14:paraId="6D95761D" w14:textId="70754E98" w:rsidR="00923D15" w:rsidRDefault="00052E37">
      <w:pPr>
        <w:pStyle w:val="TableofFigures"/>
        <w:rPr>
          <w:rFonts w:eastAsiaTheme="minorEastAsia"/>
          <w:color w:val="auto"/>
          <w:kern w:val="2"/>
          <w:sz w:val="24"/>
          <w:szCs w:val="24"/>
          <w:lang w:eastAsia="en-AU"/>
          <w14:ligatures w14:val="standardContextual"/>
        </w:rPr>
      </w:pPr>
      <w:hyperlink w:anchor="_Toc164411277" w:history="1">
        <w:r w:rsidR="00923D15" w:rsidRPr="00844681">
          <w:rPr>
            <w:rStyle w:val="Hyperlink"/>
          </w:rPr>
          <w:t>Table 5</w:t>
        </w:r>
        <w:r w:rsidR="00923D15" w:rsidRPr="00844681">
          <w:rPr>
            <w:rStyle w:val="Hyperlink"/>
          </w:rPr>
          <w:noBreakHyphen/>
          <w:t>3</w:t>
        </w:r>
        <w:r w:rsidR="00923D15">
          <w:rPr>
            <w:rFonts w:eastAsiaTheme="minorEastAsia"/>
            <w:color w:val="auto"/>
            <w:kern w:val="2"/>
            <w:sz w:val="24"/>
            <w:szCs w:val="24"/>
            <w:lang w:eastAsia="en-AU"/>
            <w14:ligatures w14:val="standardContextual"/>
          </w:rPr>
          <w:tab/>
        </w:r>
        <w:r w:rsidR="00923D15" w:rsidRPr="00844681">
          <w:rPr>
            <w:rStyle w:val="Hyperlink"/>
          </w:rPr>
          <w:t>Risk Level (Potential Impact) Matrix as Product of Sensitivity (Consequence) and Exposure (Likelihood)</w:t>
        </w:r>
        <w:r w:rsidR="00923D15">
          <w:rPr>
            <w:webHidden/>
          </w:rPr>
          <w:tab/>
        </w:r>
        <w:r w:rsidR="00923D15">
          <w:rPr>
            <w:webHidden/>
          </w:rPr>
          <w:fldChar w:fldCharType="begin"/>
        </w:r>
        <w:r w:rsidR="00923D15">
          <w:rPr>
            <w:webHidden/>
          </w:rPr>
          <w:instrText xml:space="preserve"> PAGEREF _Toc164411277 \h </w:instrText>
        </w:r>
        <w:r w:rsidR="00923D15">
          <w:rPr>
            <w:webHidden/>
          </w:rPr>
        </w:r>
        <w:r w:rsidR="00923D15">
          <w:rPr>
            <w:webHidden/>
          </w:rPr>
          <w:fldChar w:fldCharType="separate"/>
        </w:r>
        <w:r w:rsidR="00923D15">
          <w:rPr>
            <w:webHidden/>
          </w:rPr>
          <w:t>30</w:t>
        </w:r>
        <w:r w:rsidR="00923D15">
          <w:rPr>
            <w:webHidden/>
          </w:rPr>
          <w:fldChar w:fldCharType="end"/>
        </w:r>
      </w:hyperlink>
    </w:p>
    <w:p w14:paraId="19E11E63" w14:textId="1E8CBBA8" w:rsidR="00923D15" w:rsidRDefault="00052E37">
      <w:pPr>
        <w:pStyle w:val="TableofFigures"/>
        <w:rPr>
          <w:rFonts w:eastAsiaTheme="minorEastAsia"/>
          <w:color w:val="auto"/>
          <w:kern w:val="2"/>
          <w:sz w:val="24"/>
          <w:szCs w:val="24"/>
          <w:lang w:eastAsia="en-AU"/>
          <w14:ligatures w14:val="standardContextual"/>
        </w:rPr>
      </w:pPr>
      <w:hyperlink w:anchor="_Toc164411278" w:history="1">
        <w:r w:rsidR="00923D15" w:rsidRPr="00844681">
          <w:rPr>
            <w:rStyle w:val="Hyperlink"/>
          </w:rPr>
          <w:t>Table 5</w:t>
        </w:r>
        <w:r w:rsidR="00923D15" w:rsidRPr="00844681">
          <w:rPr>
            <w:rStyle w:val="Hyperlink"/>
          </w:rPr>
          <w:noBreakHyphen/>
          <w:t>4</w:t>
        </w:r>
        <w:r w:rsidR="00923D15">
          <w:rPr>
            <w:rFonts w:eastAsiaTheme="minorEastAsia"/>
            <w:color w:val="auto"/>
            <w:kern w:val="2"/>
            <w:sz w:val="24"/>
            <w:szCs w:val="24"/>
            <w:lang w:eastAsia="en-AU"/>
            <w14:ligatures w14:val="standardContextual"/>
          </w:rPr>
          <w:tab/>
        </w:r>
        <w:r w:rsidR="00923D15" w:rsidRPr="00844681">
          <w:rPr>
            <w:rStyle w:val="Hyperlink"/>
          </w:rPr>
          <w:t>Risk level definition</w:t>
        </w:r>
        <w:r w:rsidR="00923D15">
          <w:rPr>
            <w:webHidden/>
          </w:rPr>
          <w:tab/>
        </w:r>
        <w:r w:rsidR="00923D15">
          <w:rPr>
            <w:webHidden/>
          </w:rPr>
          <w:fldChar w:fldCharType="begin"/>
        </w:r>
        <w:r w:rsidR="00923D15">
          <w:rPr>
            <w:webHidden/>
          </w:rPr>
          <w:instrText xml:space="preserve"> PAGEREF _Toc164411278 \h </w:instrText>
        </w:r>
        <w:r w:rsidR="00923D15">
          <w:rPr>
            <w:webHidden/>
          </w:rPr>
        </w:r>
        <w:r w:rsidR="00923D15">
          <w:rPr>
            <w:webHidden/>
          </w:rPr>
          <w:fldChar w:fldCharType="separate"/>
        </w:r>
        <w:r w:rsidR="00923D15">
          <w:rPr>
            <w:webHidden/>
          </w:rPr>
          <w:t>31</w:t>
        </w:r>
        <w:r w:rsidR="00923D15">
          <w:rPr>
            <w:webHidden/>
          </w:rPr>
          <w:fldChar w:fldCharType="end"/>
        </w:r>
      </w:hyperlink>
    </w:p>
    <w:p w14:paraId="6C578C83" w14:textId="3C9A1489" w:rsidR="00923D15" w:rsidRDefault="00052E37">
      <w:pPr>
        <w:pStyle w:val="TableofFigures"/>
        <w:rPr>
          <w:rFonts w:eastAsiaTheme="minorEastAsia"/>
          <w:color w:val="auto"/>
          <w:kern w:val="2"/>
          <w:sz w:val="24"/>
          <w:szCs w:val="24"/>
          <w:lang w:eastAsia="en-AU"/>
          <w14:ligatures w14:val="standardContextual"/>
        </w:rPr>
      </w:pPr>
      <w:hyperlink w:anchor="_Toc164411279" w:history="1">
        <w:r w:rsidR="00923D15" w:rsidRPr="00844681">
          <w:rPr>
            <w:rStyle w:val="Hyperlink"/>
          </w:rPr>
          <w:t>Table 5</w:t>
        </w:r>
        <w:r w:rsidR="00923D15" w:rsidRPr="00844681">
          <w:rPr>
            <w:rStyle w:val="Hyperlink"/>
          </w:rPr>
          <w:noBreakHyphen/>
          <w:t>5</w:t>
        </w:r>
        <w:r w:rsidR="00923D15">
          <w:rPr>
            <w:rFonts w:eastAsiaTheme="minorEastAsia"/>
            <w:color w:val="auto"/>
            <w:kern w:val="2"/>
            <w:sz w:val="24"/>
            <w:szCs w:val="24"/>
            <w:lang w:eastAsia="en-AU"/>
            <w14:ligatures w14:val="standardContextual"/>
          </w:rPr>
          <w:tab/>
        </w:r>
        <w:r w:rsidR="00923D15" w:rsidRPr="00844681">
          <w:rPr>
            <w:rStyle w:val="Hyperlink"/>
          </w:rPr>
          <w:t>Adaptive Capacity</w:t>
        </w:r>
        <w:r w:rsidR="00923D15">
          <w:rPr>
            <w:webHidden/>
          </w:rPr>
          <w:tab/>
        </w:r>
        <w:r w:rsidR="00923D15">
          <w:rPr>
            <w:webHidden/>
          </w:rPr>
          <w:fldChar w:fldCharType="begin"/>
        </w:r>
        <w:r w:rsidR="00923D15">
          <w:rPr>
            <w:webHidden/>
          </w:rPr>
          <w:instrText xml:space="preserve"> PAGEREF _Toc164411279 \h </w:instrText>
        </w:r>
        <w:r w:rsidR="00923D15">
          <w:rPr>
            <w:webHidden/>
          </w:rPr>
        </w:r>
        <w:r w:rsidR="00923D15">
          <w:rPr>
            <w:webHidden/>
          </w:rPr>
          <w:fldChar w:fldCharType="separate"/>
        </w:r>
        <w:r w:rsidR="00923D15">
          <w:rPr>
            <w:webHidden/>
          </w:rPr>
          <w:t>31</w:t>
        </w:r>
        <w:r w:rsidR="00923D15">
          <w:rPr>
            <w:webHidden/>
          </w:rPr>
          <w:fldChar w:fldCharType="end"/>
        </w:r>
      </w:hyperlink>
    </w:p>
    <w:p w14:paraId="75B6618B" w14:textId="72D5F853" w:rsidR="00923D15" w:rsidRDefault="00052E37">
      <w:pPr>
        <w:pStyle w:val="TableofFigures"/>
        <w:rPr>
          <w:rFonts w:eastAsiaTheme="minorEastAsia"/>
          <w:color w:val="auto"/>
          <w:kern w:val="2"/>
          <w:sz w:val="24"/>
          <w:szCs w:val="24"/>
          <w:lang w:eastAsia="en-AU"/>
          <w14:ligatures w14:val="standardContextual"/>
        </w:rPr>
      </w:pPr>
      <w:hyperlink w:anchor="_Toc164411280" w:history="1">
        <w:r w:rsidR="00923D15" w:rsidRPr="00844681">
          <w:rPr>
            <w:rStyle w:val="Hyperlink"/>
          </w:rPr>
          <w:t>Table 5</w:t>
        </w:r>
        <w:r w:rsidR="00923D15" w:rsidRPr="00844681">
          <w:rPr>
            <w:rStyle w:val="Hyperlink"/>
          </w:rPr>
          <w:noBreakHyphen/>
          <w:t>6</w:t>
        </w:r>
        <w:r w:rsidR="00923D15">
          <w:rPr>
            <w:rFonts w:eastAsiaTheme="minorEastAsia"/>
            <w:color w:val="auto"/>
            <w:kern w:val="2"/>
            <w:sz w:val="24"/>
            <w:szCs w:val="24"/>
            <w:lang w:eastAsia="en-AU"/>
            <w14:ligatures w14:val="standardContextual"/>
          </w:rPr>
          <w:tab/>
        </w:r>
        <w:r w:rsidR="00923D15" w:rsidRPr="00844681">
          <w:rPr>
            <w:rStyle w:val="Hyperlink"/>
          </w:rPr>
          <w:t>Vulnerability Matrix as a Product of Risk Level and Adaptive Capacity</w:t>
        </w:r>
        <w:r w:rsidR="00923D15">
          <w:rPr>
            <w:webHidden/>
          </w:rPr>
          <w:tab/>
        </w:r>
        <w:r w:rsidR="00923D15">
          <w:rPr>
            <w:webHidden/>
          </w:rPr>
          <w:fldChar w:fldCharType="begin"/>
        </w:r>
        <w:r w:rsidR="00923D15">
          <w:rPr>
            <w:webHidden/>
          </w:rPr>
          <w:instrText xml:space="preserve"> PAGEREF _Toc164411280 \h </w:instrText>
        </w:r>
        <w:r w:rsidR="00923D15">
          <w:rPr>
            <w:webHidden/>
          </w:rPr>
        </w:r>
        <w:r w:rsidR="00923D15">
          <w:rPr>
            <w:webHidden/>
          </w:rPr>
          <w:fldChar w:fldCharType="separate"/>
        </w:r>
        <w:r w:rsidR="00923D15">
          <w:rPr>
            <w:webHidden/>
          </w:rPr>
          <w:t>32</w:t>
        </w:r>
        <w:r w:rsidR="00923D15">
          <w:rPr>
            <w:webHidden/>
          </w:rPr>
          <w:fldChar w:fldCharType="end"/>
        </w:r>
      </w:hyperlink>
    </w:p>
    <w:p w14:paraId="70C8F752" w14:textId="5402E4BA" w:rsidR="00923D15" w:rsidRDefault="00052E37">
      <w:pPr>
        <w:pStyle w:val="TableofFigures"/>
        <w:rPr>
          <w:rFonts w:eastAsiaTheme="minorEastAsia"/>
          <w:color w:val="auto"/>
          <w:kern w:val="2"/>
          <w:sz w:val="24"/>
          <w:szCs w:val="24"/>
          <w:lang w:eastAsia="en-AU"/>
          <w14:ligatures w14:val="standardContextual"/>
        </w:rPr>
      </w:pPr>
      <w:hyperlink w:anchor="_Toc164411281" w:history="1">
        <w:r w:rsidR="00923D15" w:rsidRPr="00844681">
          <w:rPr>
            <w:rStyle w:val="Hyperlink"/>
          </w:rPr>
          <w:t>Table 5</w:t>
        </w:r>
        <w:r w:rsidR="00923D15" w:rsidRPr="00844681">
          <w:rPr>
            <w:rStyle w:val="Hyperlink"/>
          </w:rPr>
          <w:noBreakHyphen/>
          <w:t>7 Vulnerability results for Erosion. Asset categories not present or having no risk in each MU are not included.</w:t>
        </w:r>
        <w:r w:rsidR="00923D15">
          <w:rPr>
            <w:webHidden/>
          </w:rPr>
          <w:tab/>
        </w:r>
        <w:r w:rsidR="00923D15">
          <w:rPr>
            <w:webHidden/>
          </w:rPr>
          <w:fldChar w:fldCharType="begin"/>
        </w:r>
        <w:r w:rsidR="00923D15">
          <w:rPr>
            <w:webHidden/>
          </w:rPr>
          <w:instrText xml:space="preserve"> PAGEREF _Toc164411281 \h </w:instrText>
        </w:r>
        <w:r w:rsidR="00923D15">
          <w:rPr>
            <w:webHidden/>
          </w:rPr>
        </w:r>
        <w:r w:rsidR="00923D15">
          <w:rPr>
            <w:webHidden/>
          </w:rPr>
          <w:fldChar w:fldCharType="separate"/>
        </w:r>
        <w:r w:rsidR="00923D15">
          <w:rPr>
            <w:webHidden/>
          </w:rPr>
          <w:t>32</w:t>
        </w:r>
        <w:r w:rsidR="00923D15">
          <w:rPr>
            <w:webHidden/>
          </w:rPr>
          <w:fldChar w:fldCharType="end"/>
        </w:r>
      </w:hyperlink>
    </w:p>
    <w:p w14:paraId="68C4FF4B" w14:textId="03DC94AA" w:rsidR="00923D15" w:rsidRDefault="00052E37">
      <w:pPr>
        <w:pStyle w:val="TableofFigures"/>
        <w:rPr>
          <w:rFonts w:eastAsiaTheme="minorEastAsia"/>
          <w:color w:val="auto"/>
          <w:kern w:val="2"/>
          <w:sz w:val="24"/>
          <w:szCs w:val="24"/>
          <w:lang w:eastAsia="en-AU"/>
          <w14:ligatures w14:val="standardContextual"/>
        </w:rPr>
      </w:pPr>
      <w:hyperlink w:anchor="_Toc164411282" w:history="1">
        <w:r w:rsidR="00923D15" w:rsidRPr="00844681">
          <w:rPr>
            <w:rStyle w:val="Hyperlink"/>
          </w:rPr>
          <w:t>Table 5</w:t>
        </w:r>
        <w:r w:rsidR="00923D15" w:rsidRPr="00844681">
          <w:rPr>
            <w:rStyle w:val="Hyperlink"/>
          </w:rPr>
          <w:noBreakHyphen/>
          <w:t>8 Vulnerability results for inundation. Asset categories not present or having no risk in each MU are not included.</w:t>
        </w:r>
        <w:r w:rsidR="00923D15">
          <w:rPr>
            <w:webHidden/>
          </w:rPr>
          <w:tab/>
        </w:r>
        <w:r w:rsidR="00923D15">
          <w:rPr>
            <w:webHidden/>
          </w:rPr>
          <w:fldChar w:fldCharType="begin"/>
        </w:r>
        <w:r w:rsidR="00923D15">
          <w:rPr>
            <w:webHidden/>
          </w:rPr>
          <w:instrText xml:space="preserve"> PAGEREF _Toc164411282 \h </w:instrText>
        </w:r>
        <w:r w:rsidR="00923D15">
          <w:rPr>
            <w:webHidden/>
          </w:rPr>
        </w:r>
        <w:r w:rsidR="00923D15">
          <w:rPr>
            <w:webHidden/>
          </w:rPr>
          <w:fldChar w:fldCharType="separate"/>
        </w:r>
        <w:r w:rsidR="00923D15">
          <w:rPr>
            <w:webHidden/>
          </w:rPr>
          <w:t>34</w:t>
        </w:r>
        <w:r w:rsidR="00923D15">
          <w:rPr>
            <w:webHidden/>
          </w:rPr>
          <w:fldChar w:fldCharType="end"/>
        </w:r>
      </w:hyperlink>
    </w:p>
    <w:p w14:paraId="6882DFD9" w14:textId="4C848CA6" w:rsidR="00923D15" w:rsidRDefault="00052E37">
      <w:pPr>
        <w:pStyle w:val="TableofFigures"/>
        <w:rPr>
          <w:rFonts w:eastAsiaTheme="minorEastAsia"/>
          <w:color w:val="auto"/>
          <w:kern w:val="2"/>
          <w:sz w:val="24"/>
          <w:szCs w:val="24"/>
          <w:lang w:eastAsia="en-AU"/>
          <w14:ligatures w14:val="standardContextual"/>
        </w:rPr>
      </w:pPr>
      <w:hyperlink w:anchor="_Toc164411283" w:history="1">
        <w:r w:rsidR="00923D15" w:rsidRPr="00844681">
          <w:rPr>
            <w:rStyle w:val="Hyperlink"/>
          </w:rPr>
          <w:t>Table 6</w:t>
        </w:r>
        <w:r w:rsidR="00923D15" w:rsidRPr="00844681">
          <w:rPr>
            <w:rStyle w:val="Hyperlink"/>
          </w:rPr>
          <w:noBreakHyphen/>
          <w:t>1</w:t>
        </w:r>
        <w:r w:rsidR="00923D15">
          <w:rPr>
            <w:rFonts w:eastAsiaTheme="minorEastAsia"/>
            <w:color w:val="auto"/>
            <w:kern w:val="2"/>
            <w:sz w:val="24"/>
            <w:szCs w:val="24"/>
            <w:lang w:eastAsia="en-AU"/>
            <w14:ligatures w14:val="standardContextual"/>
          </w:rPr>
          <w:tab/>
        </w:r>
        <w:r w:rsidR="00923D15" w:rsidRPr="00844681">
          <w:rPr>
            <w:rStyle w:val="Hyperlink"/>
          </w:rPr>
          <w:t>Erosion vulnerability ratings by management unit &amp; planning horizon</w:t>
        </w:r>
        <w:r w:rsidR="00923D15">
          <w:rPr>
            <w:webHidden/>
          </w:rPr>
          <w:tab/>
        </w:r>
        <w:r w:rsidR="00923D15">
          <w:rPr>
            <w:webHidden/>
          </w:rPr>
          <w:fldChar w:fldCharType="begin"/>
        </w:r>
        <w:r w:rsidR="00923D15">
          <w:rPr>
            <w:webHidden/>
          </w:rPr>
          <w:instrText xml:space="preserve"> PAGEREF _Toc164411283 \h </w:instrText>
        </w:r>
        <w:r w:rsidR="00923D15">
          <w:rPr>
            <w:webHidden/>
          </w:rPr>
        </w:r>
        <w:r w:rsidR="00923D15">
          <w:rPr>
            <w:webHidden/>
          </w:rPr>
          <w:fldChar w:fldCharType="separate"/>
        </w:r>
        <w:r w:rsidR="00923D15">
          <w:rPr>
            <w:webHidden/>
          </w:rPr>
          <w:t>36</w:t>
        </w:r>
        <w:r w:rsidR="00923D15">
          <w:rPr>
            <w:webHidden/>
          </w:rPr>
          <w:fldChar w:fldCharType="end"/>
        </w:r>
      </w:hyperlink>
    </w:p>
    <w:p w14:paraId="7FD26E7B" w14:textId="268FAE40" w:rsidR="00923D15" w:rsidRDefault="00052E37">
      <w:pPr>
        <w:pStyle w:val="TableofFigures"/>
        <w:rPr>
          <w:rFonts w:eastAsiaTheme="minorEastAsia"/>
          <w:color w:val="auto"/>
          <w:kern w:val="2"/>
          <w:sz w:val="24"/>
          <w:szCs w:val="24"/>
          <w:lang w:eastAsia="en-AU"/>
          <w14:ligatures w14:val="standardContextual"/>
        </w:rPr>
      </w:pPr>
      <w:hyperlink w:anchor="_Toc164411284" w:history="1">
        <w:r w:rsidR="00923D15" w:rsidRPr="00844681">
          <w:rPr>
            <w:rStyle w:val="Hyperlink"/>
          </w:rPr>
          <w:t>Table 6</w:t>
        </w:r>
        <w:r w:rsidR="00923D15" w:rsidRPr="00844681">
          <w:rPr>
            <w:rStyle w:val="Hyperlink"/>
          </w:rPr>
          <w:noBreakHyphen/>
          <w:t>2</w:t>
        </w:r>
        <w:r w:rsidR="00923D15">
          <w:rPr>
            <w:rFonts w:eastAsiaTheme="minorEastAsia"/>
            <w:color w:val="auto"/>
            <w:kern w:val="2"/>
            <w:sz w:val="24"/>
            <w:szCs w:val="24"/>
            <w:lang w:eastAsia="en-AU"/>
            <w14:ligatures w14:val="standardContextual"/>
          </w:rPr>
          <w:tab/>
        </w:r>
        <w:r w:rsidR="00923D15" w:rsidRPr="00844681">
          <w:rPr>
            <w:rStyle w:val="Hyperlink"/>
          </w:rPr>
          <w:t>Inundation vulnerability ratings by management unit &amp; planning horizon</w:t>
        </w:r>
        <w:r w:rsidR="00923D15">
          <w:rPr>
            <w:webHidden/>
          </w:rPr>
          <w:tab/>
        </w:r>
        <w:r w:rsidR="00923D15">
          <w:rPr>
            <w:webHidden/>
          </w:rPr>
          <w:fldChar w:fldCharType="begin"/>
        </w:r>
        <w:r w:rsidR="00923D15">
          <w:rPr>
            <w:webHidden/>
          </w:rPr>
          <w:instrText xml:space="preserve"> PAGEREF _Toc164411284 \h </w:instrText>
        </w:r>
        <w:r w:rsidR="00923D15">
          <w:rPr>
            <w:webHidden/>
          </w:rPr>
        </w:r>
        <w:r w:rsidR="00923D15">
          <w:rPr>
            <w:webHidden/>
          </w:rPr>
          <w:fldChar w:fldCharType="separate"/>
        </w:r>
        <w:r w:rsidR="00923D15">
          <w:rPr>
            <w:webHidden/>
          </w:rPr>
          <w:t>36</w:t>
        </w:r>
        <w:r w:rsidR="00923D15">
          <w:rPr>
            <w:webHidden/>
          </w:rPr>
          <w:fldChar w:fldCharType="end"/>
        </w:r>
      </w:hyperlink>
    </w:p>
    <w:p w14:paraId="46E55F0B" w14:textId="74925051" w:rsidR="00923D15" w:rsidRDefault="00052E37">
      <w:pPr>
        <w:pStyle w:val="TableofFigures"/>
        <w:rPr>
          <w:rFonts w:eastAsiaTheme="minorEastAsia"/>
          <w:color w:val="auto"/>
          <w:kern w:val="2"/>
          <w:sz w:val="24"/>
          <w:szCs w:val="24"/>
          <w:lang w:eastAsia="en-AU"/>
          <w14:ligatures w14:val="standardContextual"/>
        </w:rPr>
      </w:pPr>
      <w:hyperlink w:anchor="_Toc164411285" w:history="1">
        <w:r w:rsidR="00923D15" w:rsidRPr="00844681">
          <w:rPr>
            <w:rStyle w:val="Hyperlink"/>
          </w:rPr>
          <w:t>Table 6</w:t>
        </w:r>
        <w:r w:rsidR="00923D15" w:rsidRPr="00844681">
          <w:rPr>
            <w:rStyle w:val="Hyperlink"/>
          </w:rPr>
          <w:noBreakHyphen/>
          <w:t>3</w:t>
        </w:r>
        <w:r w:rsidR="00923D15">
          <w:rPr>
            <w:rFonts w:eastAsiaTheme="minorEastAsia"/>
            <w:color w:val="auto"/>
            <w:kern w:val="2"/>
            <w:sz w:val="24"/>
            <w:szCs w:val="24"/>
            <w:lang w:eastAsia="en-AU"/>
            <w14:ligatures w14:val="standardContextual"/>
          </w:rPr>
          <w:tab/>
        </w:r>
        <w:r w:rsidR="00923D15" w:rsidRPr="00844681">
          <w:rPr>
            <w:rStyle w:val="Hyperlink"/>
          </w:rPr>
          <w:t>Adaptation consideration summary</w:t>
        </w:r>
        <w:r w:rsidR="00923D15">
          <w:rPr>
            <w:webHidden/>
          </w:rPr>
          <w:tab/>
        </w:r>
        <w:r w:rsidR="00923D15">
          <w:rPr>
            <w:webHidden/>
          </w:rPr>
          <w:fldChar w:fldCharType="begin"/>
        </w:r>
        <w:r w:rsidR="00923D15">
          <w:rPr>
            <w:webHidden/>
          </w:rPr>
          <w:instrText xml:space="preserve"> PAGEREF _Toc164411285 \h </w:instrText>
        </w:r>
        <w:r w:rsidR="00923D15">
          <w:rPr>
            <w:webHidden/>
          </w:rPr>
        </w:r>
        <w:r w:rsidR="00923D15">
          <w:rPr>
            <w:webHidden/>
          </w:rPr>
          <w:fldChar w:fldCharType="separate"/>
        </w:r>
        <w:r w:rsidR="00923D15">
          <w:rPr>
            <w:webHidden/>
          </w:rPr>
          <w:t>37</w:t>
        </w:r>
        <w:r w:rsidR="00923D15">
          <w:rPr>
            <w:webHidden/>
          </w:rPr>
          <w:fldChar w:fldCharType="end"/>
        </w:r>
      </w:hyperlink>
    </w:p>
    <w:p w14:paraId="687BF44C" w14:textId="0AC3FD09" w:rsidR="00923D15" w:rsidRDefault="00052E37">
      <w:pPr>
        <w:pStyle w:val="TableofFigures"/>
        <w:rPr>
          <w:rFonts w:eastAsiaTheme="minorEastAsia"/>
          <w:color w:val="auto"/>
          <w:kern w:val="2"/>
          <w:sz w:val="24"/>
          <w:szCs w:val="24"/>
          <w:lang w:eastAsia="en-AU"/>
          <w14:ligatures w14:val="standardContextual"/>
        </w:rPr>
      </w:pPr>
      <w:hyperlink w:anchor="_Toc164411286" w:history="1">
        <w:r w:rsidR="00923D15" w:rsidRPr="00844681">
          <w:rPr>
            <w:rStyle w:val="Hyperlink"/>
          </w:rPr>
          <w:t>Table 6</w:t>
        </w:r>
        <w:r w:rsidR="00923D15" w:rsidRPr="00844681">
          <w:rPr>
            <w:rStyle w:val="Hyperlink"/>
          </w:rPr>
          <w:noBreakHyphen/>
          <w:t>4</w:t>
        </w:r>
        <w:r w:rsidR="00923D15">
          <w:rPr>
            <w:rFonts w:eastAsiaTheme="minorEastAsia"/>
            <w:color w:val="auto"/>
            <w:kern w:val="2"/>
            <w:sz w:val="24"/>
            <w:szCs w:val="24"/>
            <w:lang w:eastAsia="en-AU"/>
            <w14:ligatures w14:val="standardContextual"/>
          </w:rPr>
          <w:tab/>
        </w:r>
        <w:r w:rsidR="00923D15" w:rsidRPr="00844681">
          <w:rPr>
            <w:rStyle w:val="Hyperlink"/>
          </w:rPr>
          <w:t>Risk treatment options from WAPC (2019)</w:t>
        </w:r>
        <w:r w:rsidR="00923D15">
          <w:rPr>
            <w:webHidden/>
          </w:rPr>
          <w:tab/>
        </w:r>
        <w:r w:rsidR="00923D15">
          <w:rPr>
            <w:webHidden/>
          </w:rPr>
          <w:fldChar w:fldCharType="begin"/>
        </w:r>
        <w:r w:rsidR="00923D15">
          <w:rPr>
            <w:webHidden/>
          </w:rPr>
          <w:instrText xml:space="preserve"> PAGEREF _Toc164411286 \h </w:instrText>
        </w:r>
        <w:r w:rsidR="00923D15">
          <w:rPr>
            <w:webHidden/>
          </w:rPr>
        </w:r>
        <w:r w:rsidR="00923D15">
          <w:rPr>
            <w:webHidden/>
          </w:rPr>
          <w:fldChar w:fldCharType="separate"/>
        </w:r>
        <w:r w:rsidR="00923D15">
          <w:rPr>
            <w:webHidden/>
          </w:rPr>
          <w:t>39</w:t>
        </w:r>
        <w:r w:rsidR="00923D15">
          <w:rPr>
            <w:webHidden/>
          </w:rPr>
          <w:fldChar w:fldCharType="end"/>
        </w:r>
      </w:hyperlink>
    </w:p>
    <w:p w14:paraId="7657F680" w14:textId="0F104AF8" w:rsidR="00923D15" w:rsidRDefault="00052E37">
      <w:pPr>
        <w:pStyle w:val="TableofFigures"/>
        <w:rPr>
          <w:rFonts w:eastAsiaTheme="minorEastAsia"/>
          <w:color w:val="auto"/>
          <w:kern w:val="2"/>
          <w:sz w:val="24"/>
          <w:szCs w:val="24"/>
          <w:lang w:eastAsia="en-AU"/>
          <w14:ligatures w14:val="standardContextual"/>
        </w:rPr>
      </w:pPr>
      <w:hyperlink w:anchor="_Toc164411287" w:history="1">
        <w:r w:rsidR="00923D15" w:rsidRPr="00844681">
          <w:rPr>
            <w:rStyle w:val="Hyperlink"/>
          </w:rPr>
          <w:t>Table 6</w:t>
        </w:r>
        <w:r w:rsidR="00923D15" w:rsidRPr="00844681">
          <w:rPr>
            <w:rStyle w:val="Hyperlink"/>
          </w:rPr>
          <w:noBreakHyphen/>
          <w:t>5</w:t>
        </w:r>
        <w:r w:rsidR="00923D15">
          <w:rPr>
            <w:rFonts w:eastAsiaTheme="minorEastAsia"/>
            <w:color w:val="auto"/>
            <w:kern w:val="2"/>
            <w:sz w:val="24"/>
            <w:szCs w:val="24"/>
            <w:lang w:eastAsia="en-AU"/>
            <w14:ligatures w14:val="standardContextual"/>
          </w:rPr>
          <w:tab/>
        </w:r>
        <w:r w:rsidR="00923D15" w:rsidRPr="00844681">
          <w:rPr>
            <w:rStyle w:val="Hyperlink"/>
          </w:rPr>
          <w:t>Multi-Criteria Analysis summary by MU. Green indicates options recommended for further investigation (CBA); orange cells are unclear, so will be analysed further; red cells are not recommended for inclusion or further analysis</w:t>
        </w:r>
        <w:r w:rsidR="00923D15">
          <w:rPr>
            <w:webHidden/>
          </w:rPr>
          <w:tab/>
        </w:r>
        <w:r w:rsidR="00923D15">
          <w:rPr>
            <w:webHidden/>
          </w:rPr>
          <w:fldChar w:fldCharType="begin"/>
        </w:r>
        <w:r w:rsidR="00923D15">
          <w:rPr>
            <w:webHidden/>
          </w:rPr>
          <w:instrText xml:space="preserve"> PAGEREF _Toc164411287 \h </w:instrText>
        </w:r>
        <w:r w:rsidR="00923D15">
          <w:rPr>
            <w:webHidden/>
          </w:rPr>
        </w:r>
        <w:r w:rsidR="00923D15">
          <w:rPr>
            <w:webHidden/>
          </w:rPr>
          <w:fldChar w:fldCharType="separate"/>
        </w:r>
        <w:r w:rsidR="00923D15">
          <w:rPr>
            <w:webHidden/>
          </w:rPr>
          <w:t>41</w:t>
        </w:r>
        <w:r w:rsidR="00923D15">
          <w:rPr>
            <w:webHidden/>
          </w:rPr>
          <w:fldChar w:fldCharType="end"/>
        </w:r>
      </w:hyperlink>
    </w:p>
    <w:p w14:paraId="2798861C" w14:textId="6A48F5FB" w:rsidR="00923D15" w:rsidRDefault="00052E37">
      <w:pPr>
        <w:pStyle w:val="TableofFigures"/>
        <w:rPr>
          <w:rFonts w:eastAsiaTheme="minorEastAsia"/>
          <w:color w:val="auto"/>
          <w:kern w:val="2"/>
          <w:sz w:val="24"/>
          <w:szCs w:val="24"/>
          <w:lang w:eastAsia="en-AU"/>
          <w14:ligatures w14:val="standardContextual"/>
        </w:rPr>
      </w:pPr>
      <w:hyperlink w:anchor="_Toc164411288" w:history="1">
        <w:r w:rsidR="00923D15" w:rsidRPr="00844681">
          <w:rPr>
            <w:rStyle w:val="Hyperlink"/>
          </w:rPr>
          <w:t>Table 7</w:t>
        </w:r>
        <w:r w:rsidR="00923D15" w:rsidRPr="00844681">
          <w:rPr>
            <w:rStyle w:val="Hyperlink"/>
          </w:rPr>
          <w:noBreakHyphen/>
          <w:t>1</w:t>
        </w:r>
        <w:r w:rsidR="00923D15">
          <w:rPr>
            <w:rFonts w:eastAsiaTheme="minorEastAsia"/>
            <w:color w:val="auto"/>
            <w:kern w:val="2"/>
            <w:sz w:val="24"/>
            <w:szCs w:val="24"/>
            <w:lang w:eastAsia="en-AU"/>
            <w14:ligatures w14:val="standardContextual"/>
          </w:rPr>
          <w:tab/>
        </w:r>
        <w:r w:rsidR="00923D15" w:rsidRPr="00844681">
          <w:rPr>
            <w:rStyle w:val="Hyperlink"/>
          </w:rPr>
          <w:t>Risk treatment options from WAPC (2019) suitable for CBA. Note PR4 and PR5 are greyed out as they did not progress through MCA for any MU’s.</w:t>
        </w:r>
        <w:r w:rsidR="00923D15">
          <w:rPr>
            <w:webHidden/>
          </w:rPr>
          <w:tab/>
        </w:r>
        <w:r w:rsidR="00923D15">
          <w:rPr>
            <w:webHidden/>
          </w:rPr>
          <w:fldChar w:fldCharType="begin"/>
        </w:r>
        <w:r w:rsidR="00923D15">
          <w:rPr>
            <w:webHidden/>
          </w:rPr>
          <w:instrText xml:space="preserve"> PAGEREF _Toc164411288 \h </w:instrText>
        </w:r>
        <w:r w:rsidR="00923D15">
          <w:rPr>
            <w:webHidden/>
          </w:rPr>
        </w:r>
        <w:r w:rsidR="00923D15">
          <w:rPr>
            <w:webHidden/>
          </w:rPr>
          <w:fldChar w:fldCharType="separate"/>
        </w:r>
        <w:r w:rsidR="00923D15">
          <w:rPr>
            <w:webHidden/>
          </w:rPr>
          <w:t>43</w:t>
        </w:r>
        <w:r w:rsidR="00923D15">
          <w:rPr>
            <w:webHidden/>
          </w:rPr>
          <w:fldChar w:fldCharType="end"/>
        </w:r>
      </w:hyperlink>
    </w:p>
    <w:p w14:paraId="215DB285" w14:textId="2BC0C7CA" w:rsidR="00923D15" w:rsidRDefault="00052E37">
      <w:pPr>
        <w:pStyle w:val="TableofFigures"/>
        <w:rPr>
          <w:rFonts w:eastAsiaTheme="minorEastAsia"/>
          <w:color w:val="auto"/>
          <w:kern w:val="2"/>
          <w:sz w:val="24"/>
          <w:szCs w:val="24"/>
          <w:lang w:eastAsia="en-AU"/>
          <w14:ligatures w14:val="standardContextual"/>
        </w:rPr>
      </w:pPr>
      <w:hyperlink w:anchor="_Toc164411289" w:history="1">
        <w:r w:rsidR="00923D15" w:rsidRPr="00844681">
          <w:rPr>
            <w:rStyle w:val="Hyperlink"/>
          </w:rPr>
          <w:t>Table 7</w:t>
        </w:r>
        <w:r w:rsidR="00923D15" w:rsidRPr="00844681">
          <w:rPr>
            <w:rStyle w:val="Hyperlink"/>
          </w:rPr>
          <w:noBreakHyphen/>
          <w:t>2</w:t>
        </w:r>
        <w:r w:rsidR="00923D15">
          <w:rPr>
            <w:rFonts w:eastAsiaTheme="minorEastAsia"/>
            <w:color w:val="auto"/>
            <w:kern w:val="2"/>
            <w:sz w:val="24"/>
            <w:szCs w:val="24"/>
            <w:lang w:eastAsia="en-AU"/>
            <w14:ligatures w14:val="standardContextual"/>
          </w:rPr>
          <w:tab/>
        </w:r>
        <w:r w:rsidR="00923D15" w:rsidRPr="00844681">
          <w:rPr>
            <w:rStyle w:val="Hyperlink"/>
          </w:rPr>
          <w:t>Recommended CBA options for erosion for each MU</w:t>
        </w:r>
        <w:r w:rsidR="00923D15">
          <w:rPr>
            <w:webHidden/>
          </w:rPr>
          <w:tab/>
        </w:r>
        <w:r w:rsidR="00923D15">
          <w:rPr>
            <w:webHidden/>
          </w:rPr>
          <w:fldChar w:fldCharType="begin"/>
        </w:r>
        <w:r w:rsidR="00923D15">
          <w:rPr>
            <w:webHidden/>
          </w:rPr>
          <w:instrText xml:space="preserve"> PAGEREF _Toc164411289 \h </w:instrText>
        </w:r>
        <w:r w:rsidR="00923D15">
          <w:rPr>
            <w:webHidden/>
          </w:rPr>
        </w:r>
        <w:r w:rsidR="00923D15">
          <w:rPr>
            <w:webHidden/>
          </w:rPr>
          <w:fldChar w:fldCharType="separate"/>
        </w:r>
        <w:r w:rsidR="00923D15">
          <w:rPr>
            <w:webHidden/>
          </w:rPr>
          <w:t>44</w:t>
        </w:r>
        <w:r w:rsidR="00923D15">
          <w:rPr>
            <w:webHidden/>
          </w:rPr>
          <w:fldChar w:fldCharType="end"/>
        </w:r>
      </w:hyperlink>
    </w:p>
    <w:p w14:paraId="229663B2" w14:textId="69279C80" w:rsidR="00923D15" w:rsidRDefault="00052E37">
      <w:pPr>
        <w:pStyle w:val="TableofFigures"/>
        <w:rPr>
          <w:rFonts w:eastAsiaTheme="minorEastAsia"/>
          <w:color w:val="auto"/>
          <w:kern w:val="2"/>
          <w:sz w:val="24"/>
          <w:szCs w:val="24"/>
          <w:lang w:eastAsia="en-AU"/>
          <w14:ligatures w14:val="standardContextual"/>
        </w:rPr>
      </w:pPr>
      <w:hyperlink w:anchor="_Toc164411290" w:history="1">
        <w:r w:rsidR="00923D15" w:rsidRPr="00844681">
          <w:rPr>
            <w:rStyle w:val="Hyperlink"/>
          </w:rPr>
          <w:t>Table 7</w:t>
        </w:r>
        <w:r w:rsidR="00923D15" w:rsidRPr="00844681">
          <w:rPr>
            <w:rStyle w:val="Hyperlink"/>
          </w:rPr>
          <w:noBreakHyphen/>
          <w:t>3</w:t>
        </w:r>
        <w:r w:rsidR="00923D15">
          <w:rPr>
            <w:rFonts w:eastAsiaTheme="minorEastAsia"/>
            <w:color w:val="auto"/>
            <w:kern w:val="2"/>
            <w:sz w:val="24"/>
            <w:szCs w:val="24"/>
            <w:lang w:eastAsia="en-AU"/>
            <w14:ligatures w14:val="standardContextual"/>
          </w:rPr>
          <w:tab/>
        </w:r>
        <w:r w:rsidR="00923D15" w:rsidRPr="00844681">
          <w:rPr>
            <w:rStyle w:val="Hyperlink"/>
          </w:rPr>
          <w:t>Recommended CBA options for inundation for each MU</w:t>
        </w:r>
        <w:r w:rsidR="00923D15">
          <w:rPr>
            <w:webHidden/>
          </w:rPr>
          <w:tab/>
        </w:r>
        <w:r w:rsidR="00923D15">
          <w:rPr>
            <w:webHidden/>
          </w:rPr>
          <w:fldChar w:fldCharType="begin"/>
        </w:r>
        <w:r w:rsidR="00923D15">
          <w:rPr>
            <w:webHidden/>
          </w:rPr>
          <w:instrText xml:space="preserve"> PAGEREF _Toc164411290 \h </w:instrText>
        </w:r>
        <w:r w:rsidR="00923D15">
          <w:rPr>
            <w:webHidden/>
          </w:rPr>
        </w:r>
        <w:r w:rsidR="00923D15">
          <w:rPr>
            <w:webHidden/>
          </w:rPr>
          <w:fldChar w:fldCharType="separate"/>
        </w:r>
        <w:r w:rsidR="00923D15">
          <w:rPr>
            <w:webHidden/>
          </w:rPr>
          <w:t>45</w:t>
        </w:r>
        <w:r w:rsidR="00923D15">
          <w:rPr>
            <w:webHidden/>
          </w:rPr>
          <w:fldChar w:fldCharType="end"/>
        </w:r>
      </w:hyperlink>
    </w:p>
    <w:p w14:paraId="7E7B7329" w14:textId="5DEB86E7" w:rsidR="00923D15" w:rsidRDefault="00052E37">
      <w:pPr>
        <w:pStyle w:val="TableofFigures"/>
        <w:rPr>
          <w:rFonts w:eastAsiaTheme="minorEastAsia"/>
          <w:color w:val="auto"/>
          <w:kern w:val="2"/>
          <w:sz w:val="24"/>
          <w:szCs w:val="24"/>
          <w:lang w:eastAsia="en-AU"/>
          <w14:ligatures w14:val="standardContextual"/>
        </w:rPr>
      </w:pPr>
      <w:hyperlink w:anchor="_Toc164411291" w:history="1">
        <w:r w:rsidR="00923D15" w:rsidRPr="00844681">
          <w:rPr>
            <w:rStyle w:val="Hyperlink"/>
          </w:rPr>
          <w:t>Table 8</w:t>
        </w:r>
        <w:r w:rsidR="00923D15" w:rsidRPr="00844681">
          <w:rPr>
            <w:rStyle w:val="Hyperlink"/>
          </w:rPr>
          <w:noBreakHyphen/>
          <w:t>1</w:t>
        </w:r>
        <w:r w:rsidR="00923D15">
          <w:rPr>
            <w:rFonts w:eastAsiaTheme="minorEastAsia"/>
            <w:color w:val="auto"/>
            <w:kern w:val="2"/>
            <w:sz w:val="24"/>
            <w:szCs w:val="24"/>
            <w:lang w:eastAsia="en-AU"/>
            <w14:ligatures w14:val="standardContextual"/>
          </w:rPr>
          <w:tab/>
        </w:r>
        <w:r w:rsidR="00923D15" w:rsidRPr="00844681">
          <w:rPr>
            <w:rStyle w:val="Hyperlink"/>
          </w:rPr>
          <w:t>CHRMAP implementation strategy.</w:t>
        </w:r>
        <w:r w:rsidR="00923D15">
          <w:rPr>
            <w:webHidden/>
          </w:rPr>
          <w:tab/>
        </w:r>
        <w:r w:rsidR="00923D15">
          <w:rPr>
            <w:webHidden/>
          </w:rPr>
          <w:fldChar w:fldCharType="begin"/>
        </w:r>
        <w:r w:rsidR="00923D15">
          <w:rPr>
            <w:webHidden/>
          </w:rPr>
          <w:instrText xml:space="preserve"> PAGEREF _Toc164411291 \h </w:instrText>
        </w:r>
        <w:r w:rsidR="00923D15">
          <w:rPr>
            <w:webHidden/>
          </w:rPr>
        </w:r>
        <w:r w:rsidR="00923D15">
          <w:rPr>
            <w:webHidden/>
          </w:rPr>
          <w:fldChar w:fldCharType="separate"/>
        </w:r>
        <w:r w:rsidR="00923D15">
          <w:rPr>
            <w:webHidden/>
          </w:rPr>
          <w:t>46</w:t>
        </w:r>
        <w:r w:rsidR="00923D15">
          <w:rPr>
            <w:webHidden/>
          </w:rPr>
          <w:fldChar w:fldCharType="end"/>
        </w:r>
      </w:hyperlink>
    </w:p>
    <w:p w14:paraId="60FDE161" w14:textId="250EF7C5" w:rsidR="00923D15" w:rsidRDefault="00052E37">
      <w:pPr>
        <w:pStyle w:val="TableofFigures"/>
        <w:rPr>
          <w:rFonts w:eastAsiaTheme="minorEastAsia"/>
          <w:color w:val="auto"/>
          <w:kern w:val="2"/>
          <w:sz w:val="24"/>
          <w:szCs w:val="24"/>
          <w:lang w:eastAsia="en-AU"/>
          <w14:ligatures w14:val="standardContextual"/>
        </w:rPr>
      </w:pPr>
      <w:hyperlink w:anchor="_Toc164411292" w:history="1">
        <w:r w:rsidR="00923D15" w:rsidRPr="00844681">
          <w:rPr>
            <w:rStyle w:val="Hyperlink"/>
          </w:rPr>
          <w:t>Table 8</w:t>
        </w:r>
        <w:r w:rsidR="00923D15" w:rsidRPr="00844681">
          <w:rPr>
            <w:rStyle w:val="Hyperlink"/>
          </w:rPr>
          <w:noBreakHyphen/>
          <w:t>2</w:t>
        </w:r>
        <w:r w:rsidR="00923D15">
          <w:rPr>
            <w:rFonts w:eastAsiaTheme="minorEastAsia"/>
            <w:color w:val="auto"/>
            <w:kern w:val="2"/>
            <w:sz w:val="24"/>
            <w:szCs w:val="24"/>
            <w:lang w:eastAsia="en-AU"/>
            <w14:ligatures w14:val="standardContextual"/>
          </w:rPr>
          <w:tab/>
        </w:r>
        <w:r w:rsidR="00923D15" w:rsidRPr="00844681">
          <w:rPr>
            <w:rStyle w:val="Hyperlink"/>
          </w:rPr>
          <w:t>Recommended updates to SCA16 in 2022 draft of LPS 2.</w:t>
        </w:r>
        <w:r w:rsidR="00923D15">
          <w:rPr>
            <w:webHidden/>
          </w:rPr>
          <w:tab/>
        </w:r>
        <w:r w:rsidR="00923D15">
          <w:rPr>
            <w:webHidden/>
          </w:rPr>
          <w:fldChar w:fldCharType="begin"/>
        </w:r>
        <w:r w:rsidR="00923D15">
          <w:rPr>
            <w:webHidden/>
          </w:rPr>
          <w:instrText xml:space="preserve"> PAGEREF _Toc164411292 \h </w:instrText>
        </w:r>
        <w:r w:rsidR="00923D15">
          <w:rPr>
            <w:webHidden/>
          </w:rPr>
        </w:r>
        <w:r w:rsidR="00923D15">
          <w:rPr>
            <w:webHidden/>
          </w:rPr>
          <w:fldChar w:fldCharType="separate"/>
        </w:r>
        <w:r w:rsidR="00923D15">
          <w:rPr>
            <w:webHidden/>
          </w:rPr>
          <w:t>50</w:t>
        </w:r>
        <w:r w:rsidR="00923D15">
          <w:rPr>
            <w:webHidden/>
          </w:rPr>
          <w:fldChar w:fldCharType="end"/>
        </w:r>
      </w:hyperlink>
    </w:p>
    <w:p w14:paraId="06BC3F40" w14:textId="3AD85548" w:rsidR="00923D15" w:rsidRDefault="00052E37">
      <w:pPr>
        <w:pStyle w:val="TableofFigures"/>
        <w:rPr>
          <w:rFonts w:eastAsiaTheme="minorEastAsia"/>
          <w:color w:val="auto"/>
          <w:kern w:val="2"/>
          <w:sz w:val="24"/>
          <w:szCs w:val="24"/>
          <w:lang w:eastAsia="en-AU"/>
          <w14:ligatures w14:val="standardContextual"/>
        </w:rPr>
      </w:pPr>
      <w:hyperlink w:anchor="_Toc164411293" w:history="1">
        <w:r w:rsidR="00923D15" w:rsidRPr="00844681">
          <w:rPr>
            <w:rStyle w:val="Hyperlink"/>
          </w:rPr>
          <w:t>Table 8</w:t>
        </w:r>
        <w:r w:rsidR="00923D15" w:rsidRPr="00844681">
          <w:rPr>
            <w:rStyle w:val="Hyperlink"/>
          </w:rPr>
          <w:noBreakHyphen/>
          <w:t>3</w:t>
        </w:r>
        <w:r w:rsidR="00923D15">
          <w:rPr>
            <w:rFonts w:eastAsiaTheme="minorEastAsia"/>
            <w:color w:val="auto"/>
            <w:kern w:val="2"/>
            <w:sz w:val="24"/>
            <w:szCs w:val="24"/>
            <w:lang w:eastAsia="en-AU"/>
            <w14:ligatures w14:val="standardContextual"/>
          </w:rPr>
          <w:tab/>
        </w:r>
        <w:r w:rsidR="00923D15" w:rsidRPr="00844681">
          <w:rPr>
            <w:rStyle w:val="Hyperlink"/>
          </w:rPr>
          <w:t>PRH Coastal Hazard Local Planning Policy</w:t>
        </w:r>
        <w:r w:rsidR="00923D15">
          <w:rPr>
            <w:webHidden/>
          </w:rPr>
          <w:tab/>
        </w:r>
        <w:r w:rsidR="00923D15">
          <w:rPr>
            <w:webHidden/>
          </w:rPr>
          <w:fldChar w:fldCharType="begin"/>
        </w:r>
        <w:r w:rsidR="00923D15">
          <w:rPr>
            <w:webHidden/>
          </w:rPr>
          <w:instrText xml:space="preserve"> PAGEREF _Toc164411293 \h </w:instrText>
        </w:r>
        <w:r w:rsidR="00923D15">
          <w:rPr>
            <w:webHidden/>
          </w:rPr>
        </w:r>
        <w:r w:rsidR="00923D15">
          <w:rPr>
            <w:webHidden/>
          </w:rPr>
          <w:fldChar w:fldCharType="separate"/>
        </w:r>
        <w:r w:rsidR="00923D15">
          <w:rPr>
            <w:webHidden/>
          </w:rPr>
          <w:t>51</w:t>
        </w:r>
        <w:r w:rsidR="00923D15">
          <w:rPr>
            <w:webHidden/>
          </w:rPr>
          <w:fldChar w:fldCharType="end"/>
        </w:r>
      </w:hyperlink>
    </w:p>
    <w:p w14:paraId="7ED33B22" w14:textId="684C96DE" w:rsidR="00923D15" w:rsidRDefault="00052E37">
      <w:pPr>
        <w:pStyle w:val="TableofFigures"/>
        <w:rPr>
          <w:rFonts w:eastAsiaTheme="minorEastAsia"/>
          <w:color w:val="auto"/>
          <w:kern w:val="2"/>
          <w:sz w:val="24"/>
          <w:szCs w:val="24"/>
          <w:lang w:eastAsia="en-AU"/>
          <w14:ligatures w14:val="standardContextual"/>
        </w:rPr>
      </w:pPr>
      <w:hyperlink w:anchor="_Toc164411294" w:history="1">
        <w:r w:rsidR="00923D15" w:rsidRPr="00844681">
          <w:rPr>
            <w:rStyle w:val="Hyperlink"/>
          </w:rPr>
          <w:t>Table 8</w:t>
        </w:r>
        <w:r w:rsidR="00923D15" w:rsidRPr="00844681">
          <w:rPr>
            <w:rStyle w:val="Hyperlink"/>
          </w:rPr>
          <w:noBreakHyphen/>
          <w:t>4</w:t>
        </w:r>
        <w:r w:rsidR="00923D15">
          <w:rPr>
            <w:rFonts w:eastAsiaTheme="minorEastAsia"/>
            <w:color w:val="auto"/>
            <w:kern w:val="2"/>
            <w:sz w:val="24"/>
            <w:szCs w:val="24"/>
            <w:lang w:eastAsia="en-AU"/>
            <w14:ligatures w14:val="standardContextual"/>
          </w:rPr>
          <w:tab/>
        </w:r>
        <w:r w:rsidR="00923D15" w:rsidRPr="00844681">
          <w:rPr>
            <w:rStyle w:val="Hyperlink"/>
          </w:rPr>
          <w:t>Recommended coastal monitoring activities.</w:t>
        </w:r>
        <w:r w:rsidR="00923D15">
          <w:rPr>
            <w:webHidden/>
          </w:rPr>
          <w:tab/>
        </w:r>
        <w:r w:rsidR="00923D15">
          <w:rPr>
            <w:webHidden/>
          </w:rPr>
          <w:fldChar w:fldCharType="begin"/>
        </w:r>
        <w:r w:rsidR="00923D15">
          <w:rPr>
            <w:webHidden/>
          </w:rPr>
          <w:instrText xml:space="preserve"> PAGEREF _Toc164411294 \h </w:instrText>
        </w:r>
        <w:r w:rsidR="00923D15">
          <w:rPr>
            <w:webHidden/>
          </w:rPr>
        </w:r>
        <w:r w:rsidR="00923D15">
          <w:rPr>
            <w:webHidden/>
          </w:rPr>
          <w:fldChar w:fldCharType="separate"/>
        </w:r>
        <w:r w:rsidR="00923D15">
          <w:rPr>
            <w:webHidden/>
          </w:rPr>
          <w:t>60</w:t>
        </w:r>
        <w:r w:rsidR="00923D15">
          <w:rPr>
            <w:webHidden/>
          </w:rPr>
          <w:fldChar w:fldCharType="end"/>
        </w:r>
      </w:hyperlink>
    </w:p>
    <w:p w14:paraId="08909319" w14:textId="296C24E2" w:rsidR="00923D15" w:rsidRDefault="00052E37">
      <w:pPr>
        <w:pStyle w:val="TableofFigures"/>
        <w:rPr>
          <w:rFonts w:eastAsiaTheme="minorEastAsia"/>
          <w:color w:val="auto"/>
          <w:kern w:val="2"/>
          <w:sz w:val="24"/>
          <w:szCs w:val="24"/>
          <w:lang w:eastAsia="en-AU"/>
          <w14:ligatures w14:val="standardContextual"/>
        </w:rPr>
      </w:pPr>
      <w:hyperlink w:anchor="_Toc164411295" w:history="1">
        <w:r w:rsidR="00923D15" w:rsidRPr="00844681">
          <w:rPr>
            <w:rStyle w:val="Hyperlink"/>
          </w:rPr>
          <w:t>Table 8</w:t>
        </w:r>
        <w:r w:rsidR="00923D15" w:rsidRPr="00844681">
          <w:rPr>
            <w:rStyle w:val="Hyperlink"/>
          </w:rPr>
          <w:noBreakHyphen/>
          <w:t>5</w:t>
        </w:r>
        <w:r w:rsidR="00923D15">
          <w:rPr>
            <w:rFonts w:eastAsiaTheme="minorEastAsia"/>
            <w:color w:val="auto"/>
            <w:kern w:val="2"/>
            <w:sz w:val="24"/>
            <w:szCs w:val="24"/>
            <w:lang w:eastAsia="en-AU"/>
            <w14:ligatures w14:val="standardContextual"/>
          </w:rPr>
          <w:tab/>
        </w:r>
        <w:r w:rsidR="00923D15" w:rsidRPr="00844681">
          <w:rPr>
            <w:rStyle w:val="Hyperlink"/>
          </w:rPr>
          <w:t>Recommended coastal investigations.</w:t>
        </w:r>
        <w:r w:rsidR="00923D15">
          <w:rPr>
            <w:webHidden/>
          </w:rPr>
          <w:tab/>
        </w:r>
        <w:r w:rsidR="00923D15">
          <w:rPr>
            <w:webHidden/>
          </w:rPr>
          <w:fldChar w:fldCharType="begin"/>
        </w:r>
        <w:r w:rsidR="00923D15">
          <w:rPr>
            <w:webHidden/>
          </w:rPr>
          <w:instrText xml:space="preserve"> PAGEREF _Toc164411295 \h </w:instrText>
        </w:r>
        <w:r w:rsidR="00923D15">
          <w:rPr>
            <w:webHidden/>
          </w:rPr>
        </w:r>
        <w:r w:rsidR="00923D15">
          <w:rPr>
            <w:webHidden/>
          </w:rPr>
          <w:fldChar w:fldCharType="separate"/>
        </w:r>
        <w:r w:rsidR="00923D15">
          <w:rPr>
            <w:webHidden/>
          </w:rPr>
          <w:t>67</w:t>
        </w:r>
        <w:r w:rsidR="00923D15">
          <w:rPr>
            <w:webHidden/>
          </w:rPr>
          <w:fldChar w:fldCharType="end"/>
        </w:r>
      </w:hyperlink>
    </w:p>
    <w:p w14:paraId="2D67D06B" w14:textId="7D88E954" w:rsidR="00923D15" w:rsidRDefault="00052E37">
      <w:pPr>
        <w:pStyle w:val="TableofFigures"/>
        <w:rPr>
          <w:rFonts w:eastAsiaTheme="minorEastAsia"/>
          <w:color w:val="auto"/>
          <w:kern w:val="2"/>
          <w:sz w:val="24"/>
          <w:szCs w:val="24"/>
          <w:lang w:eastAsia="en-AU"/>
          <w14:ligatures w14:val="standardContextual"/>
        </w:rPr>
      </w:pPr>
      <w:hyperlink w:anchor="_Toc164411296" w:history="1">
        <w:r w:rsidR="00923D15" w:rsidRPr="00844681">
          <w:rPr>
            <w:rStyle w:val="Hyperlink"/>
          </w:rPr>
          <w:t>Table 8</w:t>
        </w:r>
        <w:r w:rsidR="00923D15" w:rsidRPr="00844681">
          <w:rPr>
            <w:rStyle w:val="Hyperlink"/>
          </w:rPr>
          <w:noBreakHyphen/>
          <w:t>6</w:t>
        </w:r>
        <w:r w:rsidR="00923D15">
          <w:rPr>
            <w:rFonts w:eastAsiaTheme="minorEastAsia"/>
            <w:color w:val="auto"/>
            <w:kern w:val="2"/>
            <w:sz w:val="24"/>
            <w:szCs w:val="24"/>
            <w:lang w:eastAsia="en-AU"/>
            <w14:ligatures w14:val="standardContextual"/>
          </w:rPr>
          <w:tab/>
        </w:r>
        <w:r w:rsidR="00923D15" w:rsidRPr="00844681">
          <w:rPr>
            <w:rStyle w:val="Hyperlink"/>
          </w:rPr>
          <w:t>MU1 – Point King to Melville point recommendations in priority order.</w:t>
        </w:r>
        <w:r w:rsidR="00923D15">
          <w:rPr>
            <w:webHidden/>
          </w:rPr>
          <w:tab/>
        </w:r>
        <w:r w:rsidR="00923D15">
          <w:rPr>
            <w:webHidden/>
          </w:rPr>
          <w:fldChar w:fldCharType="begin"/>
        </w:r>
        <w:r w:rsidR="00923D15">
          <w:rPr>
            <w:webHidden/>
          </w:rPr>
          <w:instrText xml:space="preserve"> PAGEREF _Toc164411296 \h </w:instrText>
        </w:r>
        <w:r w:rsidR="00923D15">
          <w:rPr>
            <w:webHidden/>
          </w:rPr>
        </w:r>
        <w:r w:rsidR="00923D15">
          <w:rPr>
            <w:webHidden/>
          </w:rPr>
          <w:fldChar w:fldCharType="separate"/>
        </w:r>
        <w:r w:rsidR="00923D15">
          <w:rPr>
            <w:webHidden/>
          </w:rPr>
          <w:t>71</w:t>
        </w:r>
        <w:r w:rsidR="00923D15">
          <w:rPr>
            <w:webHidden/>
          </w:rPr>
          <w:fldChar w:fldCharType="end"/>
        </w:r>
      </w:hyperlink>
    </w:p>
    <w:p w14:paraId="02B36467" w14:textId="7DBDD788" w:rsidR="00923D15" w:rsidRDefault="00052E37">
      <w:pPr>
        <w:pStyle w:val="TableofFigures"/>
        <w:rPr>
          <w:rFonts w:eastAsiaTheme="minorEastAsia"/>
          <w:color w:val="auto"/>
          <w:kern w:val="2"/>
          <w:sz w:val="24"/>
          <w:szCs w:val="24"/>
          <w:lang w:eastAsia="en-AU"/>
          <w14:ligatures w14:val="standardContextual"/>
        </w:rPr>
      </w:pPr>
      <w:hyperlink w:anchor="_Toc164411297" w:history="1">
        <w:r w:rsidR="00923D15" w:rsidRPr="00844681">
          <w:rPr>
            <w:rStyle w:val="Hyperlink"/>
          </w:rPr>
          <w:t>Table 8</w:t>
        </w:r>
        <w:r w:rsidR="00923D15" w:rsidRPr="00844681">
          <w:rPr>
            <w:rStyle w:val="Hyperlink"/>
          </w:rPr>
          <w:noBreakHyphen/>
          <w:t>7</w:t>
        </w:r>
        <w:r w:rsidR="00923D15">
          <w:rPr>
            <w:rFonts w:eastAsiaTheme="minorEastAsia"/>
            <w:color w:val="auto"/>
            <w:kern w:val="2"/>
            <w:sz w:val="24"/>
            <w:szCs w:val="24"/>
            <w:lang w:eastAsia="en-AU"/>
            <w14:ligatures w14:val="standardContextual"/>
          </w:rPr>
          <w:tab/>
        </w:r>
        <w:r w:rsidR="00923D15" w:rsidRPr="00844681">
          <w:rPr>
            <w:rStyle w:val="Hyperlink"/>
          </w:rPr>
          <w:t>MU2 – Melville Point to Rushy Point recommendations in priority order.</w:t>
        </w:r>
        <w:r w:rsidR="00923D15">
          <w:rPr>
            <w:webHidden/>
          </w:rPr>
          <w:tab/>
        </w:r>
        <w:r w:rsidR="00923D15">
          <w:rPr>
            <w:webHidden/>
          </w:rPr>
          <w:fldChar w:fldCharType="begin"/>
        </w:r>
        <w:r w:rsidR="00923D15">
          <w:rPr>
            <w:webHidden/>
          </w:rPr>
          <w:instrText xml:space="preserve"> PAGEREF _Toc164411297 \h </w:instrText>
        </w:r>
        <w:r w:rsidR="00923D15">
          <w:rPr>
            <w:webHidden/>
          </w:rPr>
        </w:r>
        <w:r w:rsidR="00923D15">
          <w:rPr>
            <w:webHidden/>
          </w:rPr>
          <w:fldChar w:fldCharType="separate"/>
        </w:r>
        <w:r w:rsidR="00923D15">
          <w:rPr>
            <w:webHidden/>
          </w:rPr>
          <w:t>73</w:t>
        </w:r>
        <w:r w:rsidR="00923D15">
          <w:rPr>
            <w:webHidden/>
          </w:rPr>
          <w:fldChar w:fldCharType="end"/>
        </w:r>
      </w:hyperlink>
    </w:p>
    <w:p w14:paraId="371F7A7E" w14:textId="71D57646" w:rsidR="00923D15" w:rsidRDefault="00052E37">
      <w:pPr>
        <w:pStyle w:val="TableofFigures"/>
        <w:rPr>
          <w:rFonts w:eastAsiaTheme="minorEastAsia"/>
          <w:color w:val="auto"/>
          <w:kern w:val="2"/>
          <w:sz w:val="24"/>
          <w:szCs w:val="24"/>
          <w:lang w:eastAsia="en-AU"/>
          <w14:ligatures w14:val="standardContextual"/>
        </w:rPr>
      </w:pPr>
      <w:hyperlink w:anchor="_Toc164411298" w:history="1">
        <w:r w:rsidR="00923D15" w:rsidRPr="00844681">
          <w:rPr>
            <w:rStyle w:val="Hyperlink"/>
          </w:rPr>
          <w:t>Table 8</w:t>
        </w:r>
        <w:r w:rsidR="00923D15" w:rsidRPr="00844681">
          <w:rPr>
            <w:rStyle w:val="Hyperlink"/>
          </w:rPr>
          <w:noBreakHyphen/>
          <w:t>8</w:t>
        </w:r>
        <w:r w:rsidR="00923D15">
          <w:rPr>
            <w:rFonts w:eastAsiaTheme="minorEastAsia"/>
            <w:color w:val="auto"/>
            <w:kern w:val="2"/>
            <w:sz w:val="24"/>
            <w:szCs w:val="24"/>
            <w:lang w:eastAsia="en-AU"/>
            <w14:ligatures w14:val="standardContextual"/>
          </w:rPr>
          <w:tab/>
        </w:r>
        <w:r w:rsidR="00923D15" w:rsidRPr="00844681">
          <w:rPr>
            <w:rStyle w:val="Hyperlink"/>
          </w:rPr>
          <w:t>MU3 - Rushy Point to Limekilns Point recommendations in priority order.</w:t>
        </w:r>
        <w:r w:rsidR="00923D15">
          <w:rPr>
            <w:webHidden/>
          </w:rPr>
          <w:tab/>
        </w:r>
        <w:r w:rsidR="00923D15">
          <w:rPr>
            <w:webHidden/>
          </w:rPr>
          <w:fldChar w:fldCharType="begin"/>
        </w:r>
        <w:r w:rsidR="00923D15">
          <w:rPr>
            <w:webHidden/>
          </w:rPr>
          <w:instrText xml:space="preserve"> PAGEREF _Toc164411298 \h </w:instrText>
        </w:r>
        <w:r w:rsidR="00923D15">
          <w:rPr>
            <w:webHidden/>
          </w:rPr>
        </w:r>
        <w:r w:rsidR="00923D15">
          <w:rPr>
            <w:webHidden/>
          </w:rPr>
          <w:fldChar w:fldCharType="separate"/>
        </w:r>
        <w:r w:rsidR="00923D15">
          <w:rPr>
            <w:webHidden/>
          </w:rPr>
          <w:t>77</w:t>
        </w:r>
        <w:r w:rsidR="00923D15">
          <w:rPr>
            <w:webHidden/>
          </w:rPr>
          <w:fldChar w:fldCharType="end"/>
        </w:r>
      </w:hyperlink>
    </w:p>
    <w:p w14:paraId="4DAAFAA8" w14:textId="38810EB2" w:rsidR="00923D15" w:rsidRDefault="00052E37">
      <w:pPr>
        <w:pStyle w:val="TableofFigures"/>
        <w:rPr>
          <w:rFonts w:eastAsiaTheme="minorEastAsia"/>
          <w:color w:val="auto"/>
          <w:kern w:val="2"/>
          <w:sz w:val="24"/>
          <w:szCs w:val="24"/>
          <w:lang w:eastAsia="en-AU"/>
          <w14:ligatures w14:val="standardContextual"/>
        </w:rPr>
      </w:pPr>
      <w:hyperlink w:anchor="_Toc164411299" w:history="1">
        <w:r w:rsidR="00923D15" w:rsidRPr="00844681">
          <w:rPr>
            <w:rStyle w:val="Hyperlink"/>
          </w:rPr>
          <w:t>Table 8</w:t>
        </w:r>
        <w:r w:rsidR="00923D15" w:rsidRPr="00844681">
          <w:rPr>
            <w:rStyle w:val="Hyperlink"/>
          </w:rPr>
          <w:noBreakHyphen/>
          <w:t>9</w:t>
        </w:r>
        <w:r w:rsidR="00923D15">
          <w:rPr>
            <w:rFonts w:eastAsiaTheme="minorEastAsia"/>
            <w:color w:val="auto"/>
            <w:kern w:val="2"/>
            <w:sz w:val="24"/>
            <w:szCs w:val="24"/>
            <w:lang w:eastAsia="en-AU"/>
            <w14:ligatures w14:val="standardContextual"/>
          </w:rPr>
          <w:tab/>
        </w:r>
        <w:r w:rsidR="00923D15" w:rsidRPr="00844681">
          <w:rPr>
            <w:rStyle w:val="Hyperlink"/>
          </w:rPr>
          <w:t>MU4 – Limekilns Point to Geake Point recommendations in priority order.</w:t>
        </w:r>
        <w:r w:rsidR="00923D15">
          <w:rPr>
            <w:webHidden/>
          </w:rPr>
          <w:tab/>
        </w:r>
        <w:r w:rsidR="00923D15">
          <w:rPr>
            <w:webHidden/>
          </w:rPr>
          <w:fldChar w:fldCharType="begin"/>
        </w:r>
        <w:r w:rsidR="00923D15">
          <w:rPr>
            <w:webHidden/>
          </w:rPr>
          <w:instrText xml:space="preserve"> PAGEREF _Toc164411299 \h </w:instrText>
        </w:r>
        <w:r w:rsidR="00923D15">
          <w:rPr>
            <w:webHidden/>
          </w:rPr>
        </w:r>
        <w:r w:rsidR="00923D15">
          <w:rPr>
            <w:webHidden/>
          </w:rPr>
          <w:fldChar w:fldCharType="separate"/>
        </w:r>
        <w:r w:rsidR="00923D15">
          <w:rPr>
            <w:webHidden/>
          </w:rPr>
          <w:t>80</w:t>
        </w:r>
        <w:r w:rsidR="00923D15">
          <w:rPr>
            <w:webHidden/>
          </w:rPr>
          <w:fldChar w:fldCharType="end"/>
        </w:r>
      </w:hyperlink>
    </w:p>
    <w:p w14:paraId="335EE96E" w14:textId="195D4E18" w:rsidR="00923D15" w:rsidRDefault="00052E37">
      <w:pPr>
        <w:pStyle w:val="TableofFigures"/>
        <w:rPr>
          <w:rFonts w:eastAsiaTheme="minorEastAsia"/>
          <w:color w:val="auto"/>
          <w:kern w:val="2"/>
          <w:sz w:val="24"/>
          <w:szCs w:val="24"/>
          <w:lang w:eastAsia="en-AU"/>
          <w14:ligatures w14:val="standardContextual"/>
        </w:rPr>
      </w:pPr>
      <w:hyperlink w:anchor="_Toc164411300" w:history="1">
        <w:r w:rsidR="00923D15" w:rsidRPr="00844681">
          <w:rPr>
            <w:rStyle w:val="Hyperlink"/>
          </w:rPr>
          <w:t>Table 8</w:t>
        </w:r>
        <w:r w:rsidR="00923D15" w:rsidRPr="00844681">
          <w:rPr>
            <w:rStyle w:val="Hyperlink"/>
          </w:rPr>
          <w:noBreakHyphen/>
          <w:t>10</w:t>
        </w:r>
        <w:r w:rsidR="00923D15">
          <w:rPr>
            <w:rFonts w:eastAsiaTheme="minorEastAsia"/>
            <w:color w:val="auto"/>
            <w:kern w:val="2"/>
            <w:sz w:val="24"/>
            <w:szCs w:val="24"/>
            <w:lang w:eastAsia="en-AU"/>
            <w14:ligatures w14:val="standardContextual"/>
          </w:rPr>
          <w:tab/>
        </w:r>
        <w:r w:rsidR="00923D15" w:rsidRPr="00844681">
          <w:rPr>
            <w:rStyle w:val="Hyperlink"/>
          </w:rPr>
          <w:t>MU5 - Geake Point to Point Possession / Uredale Point recommendations in priority order.</w:t>
        </w:r>
        <w:r w:rsidR="00923D15">
          <w:rPr>
            <w:webHidden/>
          </w:rPr>
          <w:tab/>
        </w:r>
        <w:r w:rsidR="00923D15">
          <w:rPr>
            <w:webHidden/>
          </w:rPr>
          <w:fldChar w:fldCharType="begin"/>
        </w:r>
        <w:r w:rsidR="00923D15">
          <w:rPr>
            <w:webHidden/>
          </w:rPr>
          <w:instrText xml:space="preserve"> PAGEREF _Toc164411300 \h </w:instrText>
        </w:r>
        <w:r w:rsidR="00923D15">
          <w:rPr>
            <w:webHidden/>
          </w:rPr>
        </w:r>
        <w:r w:rsidR="00923D15">
          <w:rPr>
            <w:webHidden/>
          </w:rPr>
          <w:fldChar w:fldCharType="separate"/>
        </w:r>
        <w:r w:rsidR="00923D15">
          <w:rPr>
            <w:webHidden/>
          </w:rPr>
          <w:t>82</w:t>
        </w:r>
        <w:r w:rsidR="00923D15">
          <w:rPr>
            <w:webHidden/>
          </w:rPr>
          <w:fldChar w:fldCharType="end"/>
        </w:r>
      </w:hyperlink>
    </w:p>
    <w:p w14:paraId="1C09800D" w14:textId="55070FD2" w:rsidR="00B93B38" w:rsidRPr="002A6E3A" w:rsidRDefault="00B93B38" w:rsidP="00B93B38">
      <w:pPr>
        <w:pStyle w:val="TableofFigures"/>
      </w:pPr>
      <w:r w:rsidRPr="002A6E3A">
        <w:fldChar w:fldCharType="end"/>
      </w:r>
    </w:p>
    <w:p w14:paraId="00EA18FE" w14:textId="77777777" w:rsidR="00010F23" w:rsidRPr="00792B38" w:rsidRDefault="00010F23" w:rsidP="00776D1E">
      <w:pPr>
        <w:pStyle w:val="Heading1"/>
      </w:pPr>
      <w:bookmarkStart w:id="3" w:name="_Toc430955281"/>
      <w:bookmarkStart w:id="4" w:name="_Toc437604725"/>
      <w:bookmarkStart w:id="5" w:name="_Toc445047526"/>
      <w:bookmarkStart w:id="6" w:name="_Toc459358131"/>
      <w:bookmarkStart w:id="7" w:name="_Toc524521769"/>
      <w:bookmarkStart w:id="8" w:name="_Toc164420850"/>
      <w:r w:rsidRPr="00792B38">
        <w:lastRenderedPageBreak/>
        <w:t>Introduction</w:t>
      </w:r>
      <w:bookmarkEnd w:id="3"/>
      <w:bookmarkEnd w:id="4"/>
      <w:bookmarkEnd w:id="5"/>
      <w:bookmarkEnd w:id="6"/>
      <w:bookmarkEnd w:id="7"/>
      <w:bookmarkEnd w:id="8"/>
    </w:p>
    <w:p w14:paraId="58D4F255" w14:textId="77777777" w:rsidR="00AF34DF" w:rsidRDefault="00AF34DF" w:rsidP="00AF34DF">
      <w:pPr>
        <w:pStyle w:val="Heading2"/>
        <w:numPr>
          <w:ilvl w:val="1"/>
          <w:numId w:val="14"/>
        </w:numPr>
      </w:pPr>
      <w:bookmarkStart w:id="9" w:name="_Toc152578195"/>
      <w:bookmarkStart w:id="10" w:name="_Toc164420851"/>
      <w:r>
        <w:t>Background</w:t>
      </w:r>
      <w:bookmarkEnd w:id="9"/>
      <w:bookmarkEnd w:id="10"/>
    </w:p>
    <w:p w14:paraId="1A255AEF" w14:textId="77777777" w:rsidR="00CF1A88" w:rsidRDefault="00CF1A88" w:rsidP="00CF1A88">
      <w:pPr>
        <w:pStyle w:val="BodyText"/>
      </w:pPr>
      <w:r>
        <w:t xml:space="preserve">It is internationally recognised that the mean sea level has been rising globally since the nineteenth century and is predicted to rise at an increasing rate in the future (IPCC 2021). Rising sea levels and intensifying storm activity will increase the risk of coastal inundation (temporary coastal flooding), storm erosion and long-term shoreline recession. State governments across Australia have introduced obligations that require local governments to consider and plan for these hazards. In Western Australia (WA), the governing policy is the Western Australian Planning Commission’s (WAPC) State Planning Policy No. 2.6: State Coastal Planning Policy (WAPC, 2013, herein referred to as “SPP2.6”). SPP2.6 recommends that management authorities develop a Coastal Hazard Risk Management and Adaptation Plan (CHRMAP) for land use or development potentially vulnerable to coastal hazards. Specific guidelines have been developed to assist in this process (WAPC, 2019). </w:t>
      </w:r>
    </w:p>
    <w:p w14:paraId="261E32C8" w14:textId="55FD4F4D" w:rsidR="00CF1A88" w:rsidRPr="007D7AAD" w:rsidRDefault="00CF1A88" w:rsidP="00CF1A88">
      <w:pPr>
        <w:pStyle w:val="BodyText"/>
        <w:rPr>
          <w:rFonts w:ascii="Arial" w:eastAsia="Arial" w:hAnsi="Arial" w:cs="Arial"/>
          <w:szCs w:val="20"/>
        </w:rPr>
      </w:pPr>
      <w:r w:rsidRPr="008F2AE5">
        <w:t xml:space="preserve">SPP2.6 requires </w:t>
      </w:r>
      <w:r w:rsidRPr="007D7AAD">
        <w:rPr>
          <w:rFonts w:ascii="Arial" w:eastAsia="Arial" w:hAnsi="Arial" w:cs="Arial"/>
          <w:szCs w:val="20"/>
        </w:rPr>
        <w:t xml:space="preserve">adequate risk management planning is undertaken where </w:t>
      </w:r>
      <w:r>
        <w:rPr>
          <w:rFonts w:ascii="Arial" w:eastAsia="Arial" w:hAnsi="Arial" w:cs="Arial"/>
          <w:szCs w:val="20"/>
        </w:rPr>
        <w:t xml:space="preserve">the </w:t>
      </w:r>
      <w:r w:rsidRPr="007D7AAD">
        <w:rPr>
          <w:rFonts w:ascii="Arial" w:eastAsia="Arial" w:hAnsi="Arial" w:cs="Arial"/>
          <w:szCs w:val="20"/>
        </w:rPr>
        <w:t>existing or proposed development is in an area at risk of being affected by coastal hazards over the 100-years planning timeframe.</w:t>
      </w:r>
      <w:r w:rsidRPr="008F2AE5">
        <w:t xml:space="preserve"> </w:t>
      </w:r>
      <w:r w:rsidRPr="007D7AAD">
        <w:rPr>
          <w:rFonts w:ascii="Arial" w:eastAsia="Arial" w:hAnsi="Arial" w:cs="Arial"/>
          <w:szCs w:val="20"/>
        </w:rPr>
        <w:t xml:space="preserve">SPP2.6 and the CHRMAP Guidelines provide the </w:t>
      </w:r>
      <w:r w:rsidRPr="008F2AE5">
        <w:t xml:space="preserve">risk assessment framework to be applied to identify risks that are intolerable to the community, and other stakeholders such as local governments, indigenous and cultural interests, and private enterprise. Risk management measures are then developed according to the adaptation hierarchy outlined in SPP2.6. </w:t>
      </w:r>
    </w:p>
    <w:p w14:paraId="71D812D6" w14:textId="61E664FE" w:rsidR="004F390B" w:rsidRDefault="006B33D7" w:rsidP="004F390B">
      <w:pPr>
        <w:pStyle w:val="BodyText"/>
      </w:pPr>
      <w:r>
        <w:t>The City of Albany</w:t>
      </w:r>
      <w:r w:rsidR="00CF1A88">
        <w:t xml:space="preserve"> </w:t>
      </w:r>
      <w:r>
        <w:t>(City) recognised the land surrounding Princess Royal Harbour</w:t>
      </w:r>
      <w:r w:rsidR="0004471D">
        <w:t xml:space="preserve"> (PRH)</w:t>
      </w:r>
      <w:r>
        <w:t xml:space="preserve"> </w:t>
      </w:r>
      <w:r w:rsidR="00CF1A88">
        <w:t xml:space="preserve">as being </w:t>
      </w:r>
      <w:r>
        <w:t xml:space="preserve">potentially </w:t>
      </w:r>
      <w:r w:rsidR="00CF1A88">
        <w:t xml:space="preserve">exposed to coastal hazards and climate change, which triggered the need for this CHRMAP. </w:t>
      </w:r>
      <w:r>
        <w:t>The CHRMAP</w:t>
      </w:r>
      <w:r w:rsidR="00CF1A88">
        <w:t xml:space="preserve"> study aims to investigate the nature and severity of coastal hazard</w:t>
      </w:r>
      <w:r>
        <w:t xml:space="preserve"> vulnerabilities</w:t>
      </w:r>
      <w:r w:rsidR="00CF1A88">
        <w:t xml:space="preserve"> that are likely to affect </w:t>
      </w:r>
      <w:r>
        <w:t>this area</w:t>
      </w:r>
      <w:r w:rsidR="00CF1A88">
        <w:t xml:space="preserve"> over future planning horizons. </w:t>
      </w:r>
      <w:r w:rsidR="004F390B" w:rsidRPr="0004471D">
        <w:t xml:space="preserve">Refer </w:t>
      </w:r>
      <w:r w:rsidR="0004471D">
        <w:fldChar w:fldCharType="begin"/>
      </w:r>
      <w:r w:rsidR="0004471D">
        <w:instrText xml:space="preserve"> REF _Ref125733967 \h </w:instrText>
      </w:r>
      <w:r w:rsidR="0004471D">
        <w:fldChar w:fldCharType="separate"/>
      </w:r>
      <w:r w:rsidR="00594B04">
        <w:t>Figure </w:t>
      </w:r>
      <w:r w:rsidR="00594B04">
        <w:rPr>
          <w:noProof/>
        </w:rPr>
        <w:t>1</w:t>
      </w:r>
      <w:r w:rsidR="00594B04">
        <w:noBreakHyphen/>
      </w:r>
      <w:r w:rsidR="00594B04">
        <w:rPr>
          <w:noProof/>
        </w:rPr>
        <w:t>1</w:t>
      </w:r>
      <w:r w:rsidR="0004471D">
        <w:fldChar w:fldCharType="end"/>
      </w:r>
      <w:r w:rsidR="0004471D">
        <w:t xml:space="preserve"> </w:t>
      </w:r>
      <w:r w:rsidR="004F390B" w:rsidRPr="0004471D">
        <w:t>for locality</w:t>
      </w:r>
      <w:r w:rsidR="004F390B">
        <w:t>, study area extent and management units.</w:t>
      </w:r>
    </w:p>
    <w:p w14:paraId="72C9A13C" w14:textId="65BB29BA" w:rsidR="004F390B" w:rsidRPr="00792B38" w:rsidRDefault="00CF1A88" w:rsidP="004F390B">
      <w:pPr>
        <w:pStyle w:val="BodyText"/>
      </w:pPr>
      <w:r>
        <w:t xml:space="preserve">This CHRMAP project aims to increase knowledge and understanding of coastal hazard risks and identify risk management and adaptation measures for implementation. The outcomes will be used to inform local and state government policies, strategies and plans, including (but not limited to), planning strategies, community strategic plans, drainage strategies, asset management plans, emergency management plans, and foreshore management plans. The project adheres to the WAPC (2019) guidelines with scope and deliverables consistent with the objectives identified by these guidelines and SPP2.6. </w:t>
      </w:r>
      <w:r w:rsidR="004F390B">
        <w:t>In addition, the project will determine the strategic direction for coastal adaptation scenarios from the present-day to 2122 (100-year management time frame) and identify an implementation plan to achieve this direction. Overall, this CHRMAP will develop a flexible adaptation pathway for the region and serve as a key reference for management, planning and policymaking for the short-term (0-25 years), medium-term (25-50 years), and long-term (50-100 years).</w:t>
      </w:r>
    </w:p>
    <w:p w14:paraId="3C3B5E3A" w14:textId="1163682F" w:rsidR="004F390B" w:rsidRDefault="004F390B" w:rsidP="004F390B">
      <w:pPr>
        <w:pStyle w:val="BodyText"/>
      </w:pPr>
      <w:r w:rsidRPr="00962D58">
        <w:t xml:space="preserve">Delivery of this project </w:t>
      </w:r>
      <w:r w:rsidR="00E327D6">
        <w:t xml:space="preserve">has </w:t>
      </w:r>
      <w:r w:rsidR="00096A96" w:rsidRPr="00962D58">
        <w:t>occur</w:t>
      </w:r>
      <w:r w:rsidR="00096A96">
        <w:t>red</w:t>
      </w:r>
      <w:r w:rsidRPr="00962D58">
        <w:t xml:space="preserve"> over </w:t>
      </w:r>
      <w:r>
        <w:t>8</w:t>
      </w:r>
      <w:r w:rsidRPr="00962D58">
        <w:t xml:space="preserve"> stages</w:t>
      </w:r>
      <w:r>
        <w:t xml:space="preserve"> (as summarised in </w:t>
      </w:r>
      <w:r>
        <w:fldChar w:fldCharType="begin"/>
      </w:r>
      <w:r>
        <w:instrText xml:space="preserve"> REF _Ref153549573 \h </w:instrText>
      </w:r>
      <w:r>
        <w:fldChar w:fldCharType="separate"/>
      </w:r>
      <w:r w:rsidR="00594B04">
        <w:t>Figure </w:t>
      </w:r>
      <w:r w:rsidR="00594B04">
        <w:rPr>
          <w:noProof/>
        </w:rPr>
        <w:t>1</w:t>
      </w:r>
      <w:r w:rsidR="00594B04">
        <w:noBreakHyphen/>
      </w:r>
      <w:r w:rsidR="00594B04">
        <w:rPr>
          <w:noProof/>
        </w:rPr>
        <w:t>2</w:t>
      </w:r>
      <w:r>
        <w:fldChar w:fldCharType="end"/>
      </w:r>
      <w:r>
        <w:t xml:space="preserve">), </w:t>
      </w:r>
      <w:r w:rsidRPr="00962D58">
        <w:t xml:space="preserve">each </w:t>
      </w:r>
      <w:r>
        <w:t>representing</w:t>
      </w:r>
      <w:r w:rsidRPr="00962D58">
        <w:t xml:space="preserve"> a key hold point</w:t>
      </w:r>
      <w:r w:rsidR="000631FB">
        <w:t xml:space="preserve"> with staged review by the project steering committee</w:t>
      </w:r>
      <w:r w:rsidRPr="00962D58">
        <w:t xml:space="preserve">. The staged approach is developed according to the </w:t>
      </w:r>
      <w:r w:rsidR="0004471D">
        <w:t>City</w:t>
      </w:r>
      <w:r w:rsidRPr="00962D58">
        <w:t>’s scope and is in line with the CHRMAP Guidelines (WAPC, 2019).</w:t>
      </w:r>
      <w:r>
        <w:t xml:space="preserve"> </w:t>
      </w:r>
      <w:r w:rsidR="0004471D">
        <w:t xml:space="preserve">This report presents the CHRMAP project </w:t>
      </w:r>
      <w:r w:rsidR="001E6399">
        <w:t>summary and</w:t>
      </w:r>
      <w:r w:rsidR="0004471D">
        <w:t xml:space="preserve"> makes recommendations to address erosion and inundation vulnerabilities</w:t>
      </w:r>
      <w:r w:rsidRPr="00CC0F64">
        <w:t>. The red bubble in</w:t>
      </w:r>
      <w:r>
        <w:t xml:space="preserve"> </w:t>
      </w:r>
      <w:r>
        <w:fldChar w:fldCharType="begin"/>
      </w:r>
      <w:r>
        <w:instrText xml:space="preserve"> REF _Ref153549573 \h </w:instrText>
      </w:r>
      <w:r>
        <w:fldChar w:fldCharType="separate"/>
      </w:r>
      <w:r w:rsidR="00594B04">
        <w:t>Figure </w:t>
      </w:r>
      <w:r w:rsidR="00594B04">
        <w:rPr>
          <w:noProof/>
        </w:rPr>
        <w:t>1</w:t>
      </w:r>
      <w:r w:rsidR="00594B04">
        <w:noBreakHyphen/>
      </w:r>
      <w:r w:rsidR="00594B04">
        <w:rPr>
          <w:noProof/>
        </w:rPr>
        <w:t>2</w:t>
      </w:r>
      <w:r>
        <w:fldChar w:fldCharType="end"/>
      </w:r>
      <w:r>
        <w:t xml:space="preserve">, </w:t>
      </w:r>
      <w:r w:rsidRPr="00CC0F64">
        <w:t xml:space="preserve">indicates where this component sits </w:t>
      </w:r>
      <w:r>
        <w:t>in the CHRMAP methodology</w:t>
      </w:r>
      <w:r w:rsidRPr="00F37165">
        <w:t>.</w:t>
      </w:r>
      <w:r>
        <w:t xml:space="preserve"> </w:t>
      </w:r>
    </w:p>
    <w:p w14:paraId="4E270A95" w14:textId="77777777" w:rsidR="006B33D7" w:rsidRDefault="006B33D7" w:rsidP="006B33D7">
      <w:pPr>
        <w:pStyle w:val="FigureStyle"/>
        <w:rPr>
          <w:rFonts w:eastAsiaTheme="minorHAnsi" w:cstheme="minorBidi"/>
          <w:szCs w:val="22"/>
          <w:lang w:eastAsia="en-US"/>
        </w:rPr>
      </w:pPr>
      <w:r>
        <w:rPr>
          <w:noProof/>
        </w:rPr>
        <w:lastRenderedPageBreak/>
        <w:drawing>
          <wp:inline distT="0" distB="0" distL="0" distR="0" wp14:anchorId="79FAC079" wp14:editId="23B6D952">
            <wp:extent cx="6120130" cy="7941945"/>
            <wp:effectExtent l="0" t="0" r="0" b="1905"/>
            <wp:docPr id="1735464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6120130" cy="7941945"/>
                    </a:xfrm>
                    <a:prstGeom prst="rect">
                      <a:avLst/>
                    </a:prstGeom>
                    <a:noFill/>
                    <a:ln>
                      <a:noFill/>
                    </a:ln>
                  </pic:spPr>
                </pic:pic>
              </a:graphicData>
            </a:graphic>
          </wp:inline>
        </w:drawing>
      </w:r>
    </w:p>
    <w:p w14:paraId="4ACDD0DE" w14:textId="4F107A64" w:rsidR="006B33D7" w:rsidRDefault="006B33D7" w:rsidP="006B33D7">
      <w:pPr>
        <w:pStyle w:val="FigureCaption"/>
        <w:sectPr w:rsidR="006B33D7" w:rsidSect="006B33D7">
          <w:pgSz w:w="11906" w:h="16838" w:code="9"/>
          <w:pgMar w:top="1814" w:right="1134" w:bottom="1701" w:left="1134" w:header="567" w:footer="567" w:gutter="0"/>
          <w:cols w:space="708"/>
          <w:docGrid w:linePitch="360"/>
        </w:sectPr>
      </w:pPr>
      <w:bookmarkStart w:id="11" w:name="_Ref125733967"/>
      <w:bookmarkStart w:id="12" w:name="_Toc126920699"/>
      <w:bookmarkStart w:id="13" w:name="_Toc145574856"/>
      <w:bookmarkStart w:id="14" w:name="_Toc162510055"/>
      <w:bookmarkStart w:id="15" w:name="_Toc164411262"/>
      <w:r>
        <w:t>Figure </w:t>
      </w:r>
      <w:r w:rsidR="008647EF">
        <w:fldChar w:fldCharType="begin"/>
      </w:r>
      <w:r w:rsidR="008647EF">
        <w:instrText xml:space="preserve"> STYLEREF 1 \s </w:instrText>
      </w:r>
      <w:r w:rsidR="008647EF">
        <w:fldChar w:fldCharType="separate"/>
      </w:r>
      <w:r w:rsidR="008647EF">
        <w:rPr>
          <w:noProof/>
        </w:rPr>
        <w:t>1</w:t>
      </w:r>
      <w:r w:rsidR="008647EF">
        <w:fldChar w:fldCharType="end"/>
      </w:r>
      <w:r w:rsidR="008647EF">
        <w:noBreakHyphen/>
      </w:r>
      <w:r w:rsidR="008647EF">
        <w:fldChar w:fldCharType="begin"/>
      </w:r>
      <w:r w:rsidR="008647EF">
        <w:instrText xml:space="preserve"> SEQ Figure \* ARABIC \s 1 </w:instrText>
      </w:r>
      <w:r w:rsidR="008647EF">
        <w:fldChar w:fldCharType="separate"/>
      </w:r>
      <w:r w:rsidR="008647EF">
        <w:rPr>
          <w:noProof/>
        </w:rPr>
        <w:t>1</w:t>
      </w:r>
      <w:r w:rsidR="008647EF">
        <w:fldChar w:fldCharType="end"/>
      </w:r>
      <w:bookmarkEnd w:id="11"/>
      <w:r>
        <w:tab/>
        <w:t>Princess Royal Harbour Study Area</w:t>
      </w:r>
      <w:bookmarkEnd w:id="12"/>
      <w:bookmarkEnd w:id="13"/>
      <w:bookmarkEnd w:id="14"/>
      <w:bookmarkEnd w:id="15"/>
    </w:p>
    <w:p w14:paraId="54D2AD36" w14:textId="0B837215" w:rsidR="006B33D7" w:rsidRDefault="0004471D" w:rsidP="006B33D7">
      <w:pPr>
        <w:pStyle w:val="FigureStyle"/>
      </w:pPr>
      <w:r>
        <w:rPr>
          <w:noProof/>
        </w:rPr>
        <w:lastRenderedPageBreak/>
        <w:drawing>
          <wp:inline distT="0" distB="0" distL="0" distR="0" wp14:anchorId="6E202388" wp14:editId="75ABF551">
            <wp:extent cx="9251950" cy="12331065"/>
            <wp:effectExtent l="0" t="0" r="6350" b="0"/>
            <wp:docPr id="212006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51950" cy="12331065"/>
                    </a:xfrm>
                    <a:prstGeom prst="rect">
                      <a:avLst/>
                    </a:prstGeom>
                    <a:noFill/>
                    <a:ln>
                      <a:noFill/>
                    </a:ln>
                  </pic:spPr>
                </pic:pic>
              </a:graphicData>
            </a:graphic>
          </wp:inline>
        </w:drawing>
      </w:r>
    </w:p>
    <w:p w14:paraId="47A7CDE0" w14:textId="114721A7" w:rsidR="006B33D7" w:rsidRDefault="006B33D7" w:rsidP="006B33D7">
      <w:pPr>
        <w:pStyle w:val="FigureCaption"/>
        <w:sectPr w:rsidR="006B33D7" w:rsidSect="006B33D7">
          <w:headerReference w:type="even" r:id="rId21"/>
          <w:headerReference w:type="default" r:id="rId22"/>
          <w:footerReference w:type="even" r:id="rId23"/>
          <w:footerReference w:type="default" r:id="rId24"/>
          <w:headerReference w:type="first" r:id="rId25"/>
          <w:footerReference w:type="first" r:id="rId26"/>
          <w:pgSz w:w="16838" w:h="23811" w:code="9"/>
          <w:pgMar w:top="1985" w:right="1134" w:bottom="1701" w:left="1134" w:header="567" w:footer="567" w:gutter="0"/>
          <w:cols w:space="708"/>
          <w:docGrid w:linePitch="360"/>
        </w:sectPr>
      </w:pPr>
      <w:bookmarkStart w:id="16" w:name="_Ref153549573"/>
      <w:bookmarkStart w:id="17" w:name="_Toc162510056"/>
      <w:bookmarkStart w:id="18" w:name="_Toc164411263"/>
      <w:r>
        <w:t>Figure </w:t>
      </w:r>
      <w:r w:rsidR="008647EF">
        <w:fldChar w:fldCharType="begin"/>
      </w:r>
      <w:r w:rsidR="008647EF">
        <w:instrText xml:space="preserve"> STYLEREF 1 \s </w:instrText>
      </w:r>
      <w:r w:rsidR="008647EF">
        <w:fldChar w:fldCharType="separate"/>
      </w:r>
      <w:r w:rsidR="008647EF">
        <w:rPr>
          <w:noProof/>
        </w:rPr>
        <w:t>1</w:t>
      </w:r>
      <w:r w:rsidR="008647EF">
        <w:fldChar w:fldCharType="end"/>
      </w:r>
      <w:r w:rsidR="008647EF">
        <w:noBreakHyphen/>
      </w:r>
      <w:r w:rsidR="008647EF">
        <w:fldChar w:fldCharType="begin"/>
      </w:r>
      <w:r w:rsidR="008647EF">
        <w:instrText xml:space="preserve"> SEQ Figure \* ARABIC \s 1 </w:instrText>
      </w:r>
      <w:r w:rsidR="008647EF">
        <w:fldChar w:fldCharType="separate"/>
      </w:r>
      <w:r w:rsidR="008647EF">
        <w:rPr>
          <w:noProof/>
        </w:rPr>
        <w:t>2</w:t>
      </w:r>
      <w:r w:rsidR="008647EF">
        <w:fldChar w:fldCharType="end"/>
      </w:r>
      <w:bookmarkEnd w:id="16"/>
      <w:r>
        <w:tab/>
        <w:t>Methodology</w:t>
      </w:r>
      <w:bookmarkEnd w:id="17"/>
      <w:bookmarkEnd w:id="18"/>
    </w:p>
    <w:p w14:paraId="769B0A43" w14:textId="6CB5C0F7" w:rsidR="00AF34DF" w:rsidRDefault="00AF34DF" w:rsidP="00AF34DF">
      <w:pPr>
        <w:pStyle w:val="Heading2"/>
        <w:numPr>
          <w:ilvl w:val="1"/>
          <w:numId w:val="14"/>
        </w:numPr>
      </w:pPr>
      <w:bookmarkStart w:id="19" w:name="_Toc164420852"/>
      <w:r>
        <w:lastRenderedPageBreak/>
        <w:t xml:space="preserve">Structure of this </w:t>
      </w:r>
      <w:r w:rsidR="00C13583">
        <w:t>R</w:t>
      </w:r>
      <w:r>
        <w:t>eport</w:t>
      </w:r>
      <w:bookmarkEnd w:id="19"/>
    </w:p>
    <w:p w14:paraId="12756BF1" w14:textId="5EE38283" w:rsidR="00CF1A88" w:rsidRDefault="00CF1A88" w:rsidP="00CF1A88">
      <w:pPr>
        <w:pStyle w:val="BodyText"/>
      </w:pPr>
      <w:r>
        <w:t>This report is a summary document outlining the CHRMAP project and presenting content from the previous project stages and technical</w:t>
      </w:r>
      <w:r w:rsidR="00B20BEF">
        <w:t xml:space="preserve"> chapter</w:t>
      </w:r>
      <w:r>
        <w:t xml:space="preserve"> reports. It has been written to provide an overview that is more accessible to a wider audience. This report addresses coastal hazard vulnerabilities for the City and should be considered in combination with the more detailed technical reports which are provided as appendices. References are provided throughout this document and refer to the documents listed in the reference section of the relevant technical reports.</w:t>
      </w:r>
    </w:p>
    <w:p w14:paraId="3DBAC77B" w14:textId="77777777" w:rsidR="00CF1A88" w:rsidRPr="00491743" w:rsidRDefault="00CF1A88" w:rsidP="00CF1A88">
      <w:pPr>
        <w:pStyle w:val="BodyText"/>
      </w:pPr>
      <w:r w:rsidRPr="00491743">
        <w:t xml:space="preserve">To facilitate the coastal hazard assessment and development of adaptation options, the study area </w:t>
      </w:r>
      <w:r>
        <w:t>wa</w:t>
      </w:r>
      <w:r w:rsidRPr="00491743">
        <w:t>s delineated into several management units which are determined according to a set of factors:</w:t>
      </w:r>
    </w:p>
    <w:p w14:paraId="418385BC" w14:textId="77777777" w:rsidR="00CF1A88" w:rsidRPr="00491743" w:rsidRDefault="00CF1A88" w:rsidP="00B32A91">
      <w:pPr>
        <w:pStyle w:val="ListBullet0"/>
        <w:numPr>
          <w:ilvl w:val="0"/>
          <w:numId w:val="17"/>
        </w:numPr>
      </w:pPr>
      <w:r w:rsidRPr="00491743">
        <w:t>Jurisdiction boundaries</w:t>
      </w:r>
    </w:p>
    <w:p w14:paraId="6DAE6525" w14:textId="77777777" w:rsidR="00CF1A88" w:rsidRPr="00491743" w:rsidRDefault="00CF1A88" w:rsidP="00B32A91">
      <w:pPr>
        <w:pStyle w:val="ListBullet0"/>
        <w:numPr>
          <w:ilvl w:val="0"/>
          <w:numId w:val="17"/>
        </w:numPr>
      </w:pPr>
      <w:r w:rsidRPr="00491743">
        <w:t>Presence of coastal assets and relevant stakeholders</w:t>
      </w:r>
    </w:p>
    <w:p w14:paraId="218495EA" w14:textId="77777777" w:rsidR="00DA5B27" w:rsidRDefault="00DA5B27" w:rsidP="00B32A91">
      <w:pPr>
        <w:pStyle w:val="ListBullet0"/>
        <w:numPr>
          <w:ilvl w:val="0"/>
          <w:numId w:val="17"/>
        </w:numPr>
      </w:pPr>
      <w:r>
        <w:t>Shoreline orientation</w:t>
      </w:r>
    </w:p>
    <w:p w14:paraId="32DC78C0" w14:textId="77777777" w:rsidR="00DA5B27" w:rsidRDefault="00DA5B27" w:rsidP="00B32A91">
      <w:pPr>
        <w:pStyle w:val="ListBullet0"/>
        <w:numPr>
          <w:ilvl w:val="0"/>
          <w:numId w:val="17"/>
        </w:numPr>
      </w:pPr>
      <w:r>
        <w:t xml:space="preserve">Natural and manmade shoreline features, such as extended shoreline hardening (e.g. seawalls), and </w:t>
      </w:r>
    </w:p>
    <w:p w14:paraId="72A2D5A8" w14:textId="77777777" w:rsidR="00DA5B27" w:rsidRDefault="00DA5B27" w:rsidP="00B32A91">
      <w:pPr>
        <w:pStyle w:val="ListBullet0"/>
        <w:numPr>
          <w:ilvl w:val="0"/>
          <w:numId w:val="17"/>
        </w:numPr>
      </w:pPr>
      <w:r>
        <w:t>Points established by geological features and/or localised sediment transport regimes</w:t>
      </w:r>
    </w:p>
    <w:p w14:paraId="566B3334" w14:textId="4E5D76C9" w:rsidR="00CF1A88" w:rsidRDefault="00CF1A88" w:rsidP="004776E5">
      <w:pPr>
        <w:pStyle w:val="ListBullet0"/>
        <w:numPr>
          <w:ilvl w:val="0"/>
          <w:numId w:val="5"/>
        </w:numPr>
        <w:tabs>
          <w:tab w:val="num" w:pos="397"/>
        </w:tabs>
        <w:ind w:left="397" w:hanging="397"/>
      </w:pPr>
      <w:r w:rsidRPr="00491743">
        <w:t>Coastal processes and potential hazard types.</w:t>
      </w:r>
    </w:p>
    <w:p w14:paraId="699827FB" w14:textId="2E3AD9C3" w:rsidR="00CF1A88" w:rsidRPr="00491743" w:rsidRDefault="00CF1A88" w:rsidP="004776E5">
      <w:pPr>
        <w:pStyle w:val="ListBullet0"/>
        <w:numPr>
          <w:ilvl w:val="0"/>
          <w:numId w:val="5"/>
        </w:numPr>
        <w:tabs>
          <w:tab w:val="num" w:pos="397"/>
        </w:tabs>
      </w:pPr>
      <w:r>
        <w:t xml:space="preserve">The </w:t>
      </w:r>
      <w:r w:rsidR="0004471D">
        <w:t>PRH</w:t>
      </w:r>
      <w:r>
        <w:t xml:space="preserve"> </w:t>
      </w:r>
      <w:r w:rsidRPr="00491743">
        <w:t xml:space="preserve">shoreline </w:t>
      </w:r>
      <w:r w:rsidR="0004471D">
        <w:t xml:space="preserve">was </w:t>
      </w:r>
      <w:r w:rsidRPr="00491743">
        <w:t xml:space="preserve">divided into </w:t>
      </w:r>
      <w:r w:rsidRPr="0004471D">
        <w:t>five management units</w:t>
      </w:r>
      <w:r w:rsidRPr="00491743">
        <w:t>:</w:t>
      </w:r>
    </w:p>
    <w:p w14:paraId="0D42BD13" w14:textId="7A2EAE0C" w:rsidR="00CF1A88" w:rsidRPr="00491743" w:rsidRDefault="00CF1A88" w:rsidP="00B32A91">
      <w:pPr>
        <w:pStyle w:val="ListBullet0"/>
        <w:numPr>
          <w:ilvl w:val="0"/>
          <w:numId w:val="17"/>
        </w:numPr>
      </w:pPr>
      <w:r w:rsidRPr="00491743">
        <w:t>MU</w:t>
      </w:r>
      <w:r w:rsidR="006B33D7">
        <w:t>1</w:t>
      </w:r>
      <w:r w:rsidRPr="00491743">
        <w:t xml:space="preserve"> - </w:t>
      </w:r>
      <w:bookmarkStart w:id="20" w:name="_Hlk102072603"/>
      <w:r w:rsidR="0004471D" w:rsidRPr="0004471D">
        <w:t>Point King to Melville Point</w:t>
      </w:r>
      <w:bookmarkEnd w:id="20"/>
    </w:p>
    <w:p w14:paraId="545C432A" w14:textId="71E78999" w:rsidR="00CF1A88" w:rsidRPr="00491743" w:rsidRDefault="00CF1A88" w:rsidP="00B32A91">
      <w:pPr>
        <w:pStyle w:val="ListBullet0"/>
        <w:numPr>
          <w:ilvl w:val="0"/>
          <w:numId w:val="17"/>
        </w:numPr>
      </w:pPr>
      <w:r w:rsidRPr="00491743">
        <w:t>MU</w:t>
      </w:r>
      <w:r w:rsidR="006B33D7">
        <w:t>2</w:t>
      </w:r>
      <w:r w:rsidRPr="00491743">
        <w:t xml:space="preserve"> - </w:t>
      </w:r>
      <w:r w:rsidR="0004471D" w:rsidRPr="0004471D">
        <w:t>Melville Point to Rushy Point</w:t>
      </w:r>
    </w:p>
    <w:p w14:paraId="7289841D" w14:textId="271B8890" w:rsidR="00CF1A88" w:rsidRPr="004776E5" w:rsidRDefault="00CF1A88" w:rsidP="00B32A91">
      <w:pPr>
        <w:pStyle w:val="ListBullet0"/>
        <w:numPr>
          <w:ilvl w:val="0"/>
          <w:numId w:val="17"/>
        </w:numPr>
      </w:pPr>
      <w:r w:rsidRPr="004776E5">
        <w:t>MU</w:t>
      </w:r>
      <w:r w:rsidR="006B33D7" w:rsidRPr="004776E5">
        <w:t>3</w:t>
      </w:r>
      <w:r w:rsidRPr="004776E5">
        <w:t xml:space="preserve"> - </w:t>
      </w:r>
      <w:r w:rsidR="0004471D">
        <w:t>Rushy Point to Limekilns Point</w:t>
      </w:r>
    </w:p>
    <w:p w14:paraId="209E2EEB" w14:textId="616DDC95" w:rsidR="00CF1A88" w:rsidRPr="00491743" w:rsidRDefault="00CF1A88" w:rsidP="00B32A91">
      <w:pPr>
        <w:pStyle w:val="ListBullet0"/>
        <w:numPr>
          <w:ilvl w:val="0"/>
          <w:numId w:val="17"/>
        </w:numPr>
      </w:pPr>
      <w:r w:rsidRPr="00491743">
        <w:t>MU</w:t>
      </w:r>
      <w:r w:rsidR="006B33D7">
        <w:t>4</w:t>
      </w:r>
      <w:r w:rsidRPr="00491743">
        <w:t xml:space="preserve"> - </w:t>
      </w:r>
      <w:r w:rsidR="0004471D">
        <w:t>Limekilns Point to Geake Point</w:t>
      </w:r>
    </w:p>
    <w:p w14:paraId="6F7AB3E0" w14:textId="18E8399F" w:rsidR="00CF1A88" w:rsidRPr="00491743" w:rsidRDefault="00CF1A88" w:rsidP="00B32A91">
      <w:pPr>
        <w:pStyle w:val="ListBullet0"/>
        <w:numPr>
          <w:ilvl w:val="0"/>
          <w:numId w:val="17"/>
        </w:numPr>
      </w:pPr>
      <w:r w:rsidRPr="00491743">
        <w:t>MU</w:t>
      </w:r>
      <w:r w:rsidR="006B33D7">
        <w:t>5</w:t>
      </w:r>
      <w:r w:rsidRPr="00491743">
        <w:t xml:space="preserve"> – </w:t>
      </w:r>
      <w:r w:rsidR="0004471D">
        <w:t xml:space="preserve">Geake Point to </w:t>
      </w:r>
      <w:r w:rsidR="009B0F34" w:rsidRPr="009B0F34">
        <w:t xml:space="preserve">Point </w:t>
      </w:r>
      <w:r w:rsidR="0004471D" w:rsidRPr="009B0F34">
        <w:t>Possession / Uredale Point</w:t>
      </w:r>
    </w:p>
    <w:p w14:paraId="3F28CB2F" w14:textId="3EA4C77E" w:rsidR="001500B6" w:rsidRPr="00CF1A88" w:rsidRDefault="00AF34DF" w:rsidP="001500B6">
      <w:pPr>
        <w:pStyle w:val="Heading1"/>
      </w:pPr>
      <w:bookmarkStart w:id="21" w:name="_Toc164420853"/>
      <w:bookmarkStart w:id="22" w:name="_Toc430955284"/>
      <w:r w:rsidRPr="00CF1A88">
        <w:lastRenderedPageBreak/>
        <w:t>Establish the Context</w:t>
      </w:r>
      <w:bookmarkEnd w:id="21"/>
    </w:p>
    <w:p w14:paraId="6E56C00C" w14:textId="482F36EC" w:rsidR="00AF34DF" w:rsidRPr="00B814F7" w:rsidRDefault="00AF34DF" w:rsidP="00AF34DF">
      <w:pPr>
        <w:pStyle w:val="BodyText"/>
      </w:pPr>
      <w:r>
        <w:t>An Establish the Context Chapter Report was prepared</w:t>
      </w:r>
      <w:r w:rsidR="00E372A0">
        <w:t xml:space="preserve"> </w:t>
      </w:r>
      <w:r w:rsidR="00E372A0" w:rsidRPr="00983B48">
        <w:t>(</w:t>
      </w:r>
      <w:r w:rsidR="00983B48">
        <w:fldChar w:fldCharType="begin"/>
      </w:r>
      <w:r w:rsidR="00983B48">
        <w:instrText xml:space="preserve"> REF _Ref164238325 \n \h </w:instrText>
      </w:r>
      <w:r w:rsidR="00983B48">
        <w:fldChar w:fldCharType="separate"/>
      </w:r>
      <w:r w:rsidR="00983B48">
        <w:t>Appendix B</w:t>
      </w:r>
      <w:r w:rsidR="00983B48">
        <w:fldChar w:fldCharType="end"/>
      </w:r>
      <w:r w:rsidRPr="00983B48">
        <w:t>).</w:t>
      </w:r>
      <w:r>
        <w:t xml:space="preserve"> </w:t>
      </w:r>
      <w:r w:rsidRPr="00491743">
        <w:t>This report outlines</w:t>
      </w:r>
      <w:r>
        <w:t xml:space="preserve"> in detail</w:t>
      </w:r>
      <w:r w:rsidRPr="00491743">
        <w:t xml:space="preserve"> the key management and adaptation issues that need to be considered in the CHRMAP</w:t>
      </w:r>
      <w:r>
        <w:t>, summarised below.</w:t>
      </w:r>
    </w:p>
    <w:p w14:paraId="11129110" w14:textId="77777777" w:rsidR="00AF34DF" w:rsidRDefault="00AF34DF" w:rsidP="00AF34DF">
      <w:pPr>
        <w:pStyle w:val="Heading2"/>
        <w:numPr>
          <w:ilvl w:val="1"/>
          <w:numId w:val="14"/>
        </w:numPr>
      </w:pPr>
      <w:bookmarkStart w:id="23" w:name="_Toc152578198"/>
      <w:bookmarkStart w:id="24" w:name="_Toc164420854"/>
      <w:r>
        <w:t>Purpose</w:t>
      </w:r>
      <w:bookmarkEnd w:id="23"/>
      <w:bookmarkEnd w:id="24"/>
    </w:p>
    <w:p w14:paraId="5340582B" w14:textId="1434C247" w:rsidR="00DA5B27" w:rsidRDefault="00DA5B27" w:rsidP="00DA5B27">
      <w:pPr>
        <w:pStyle w:val="BodyText"/>
      </w:pPr>
      <w:r w:rsidRPr="00491743">
        <w:t xml:space="preserve">The purpose of this project </w:t>
      </w:r>
      <w:r>
        <w:t>wa</w:t>
      </w:r>
      <w:r w:rsidRPr="00491743">
        <w:t xml:space="preserve">s for the </w:t>
      </w:r>
      <w:r>
        <w:t xml:space="preserve">City </w:t>
      </w:r>
      <w:r w:rsidRPr="00491743">
        <w:t>to work with the Steering Group and consultant(s) to develop a CHRMAP</w:t>
      </w:r>
      <w:r>
        <w:t xml:space="preserve"> for Princess Royal Harbour – City of Albany</w:t>
      </w:r>
      <w:r w:rsidRPr="00491743">
        <w:t xml:space="preserve">. </w:t>
      </w:r>
      <w:r>
        <w:t>The</w:t>
      </w:r>
      <w:r w:rsidRPr="00491743">
        <w:t xml:space="preserve"> Steering Group include</w:t>
      </w:r>
      <w:r>
        <w:t>d</w:t>
      </w:r>
      <w:r w:rsidRPr="00491743">
        <w:t xml:space="preserve"> the City of </w:t>
      </w:r>
      <w:r>
        <w:t>Albany</w:t>
      </w:r>
      <w:r w:rsidRPr="00491743">
        <w:t xml:space="preserve">, Southern Ports Authority (SPA), </w:t>
      </w:r>
      <w:r>
        <w:t xml:space="preserve">and community representatives </w:t>
      </w:r>
      <w:r w:rsidRPr="00491743">
        <w:t xml:space="preserve">with support and technical advice from Department of Planning Lands and Heritage (DPLH), and Department of Transport (DoT). </w:t>
      </w:r>
    </w:p>
    <w:p w14:paraId="4EC1DEEF" w14:textId="6FD12963" w:rsidR="0004471D" w:rsidRPr="00B814F7" w:rsidRDefault="00DA5B27" w:rsidP="00AF34DF">
      <w:pPr>
        <w:pStyle w:val="BodyText"/>
      </w:pPr>
      <w:r>
        <w:t>T</w:t>
      </w:r>
      <w:r w:rsidR="0004471D">
        <w:t xml:space="preserve">he </w:t>
      </w:r>
      <w:r>
        <w:t xml:space="preserve">purpose of the </w:t>
      </w:r>
      <w:r w:rsidR="0004471D">
        <w:t xml:space="preserve">CHRMAP </w:t>
      </w:r>
      <w:r>
        <w:t xml:space="preserve">was to </w:t>
      </w:r>
      <w:r w:rsidR="0004471D">
        <w:t>provide strategic guidance for coordinated, integrated and sustainable land use planning and management decision-making by the City of Albany</w:t>
      </w:r>
      <w:r>
        <w:t xml:space="preserve"> including </w:t>
      </w:r>
      <w:r w:rsidRPr="00491743">
        <w:t xml:space="preserve">management </w:t>
      </w:r>
      <w:r>
        <w:t xml:space="preserve">of, </w:t>
      </w:r>
      <w:r w:rsidRPr="00491743">
        <w:t>and adaptation to</w:t>
      </w:r>
      <w:r>
        <w:t>,</w:t>
      </w:r>
      <w:r w:rsidRPr="00491743">
        <w:t xml:space="preserve"> coastal hazard risks</w:t>
      </w:r>
      <w:r>
        <w:t xml:space="preserve"> (coastal erosion and inundation)</w:t>
      </w:r>
      <w:r w:rsidR="0004471D">
        <w:t xml:space="preserve">. </w:t>
      </w:r>
      <w:r>
        <w:t xml:space="preserve">Management of risks to the study area’s land adjacent to the ocean coast is very important for the social, environmental, infrastructure and economic assets and values of the local communities. A coordinated approach which identifies areas likely to be affected to erosion and/or inundation and requiring management and adaptation to mitigate the risks will provide increased resilience to these communities. </w:t>
      </w:r>
      <w:r w:rsidR="0004471D">
        <w:t xml:space="preserve">The CHRMAP will also guide necessary changes to the City of Albany Local Planning Strategy, Local Planning Scheme and other relevant strategies and local planning policies. </w:t>
      </w:r>
    </w:p>
    <w:p w14:paraId="7833B077" w14:textId="77777777" w:rsidR="00AF34DF" w:rsidRDefault="00AF34DF" w:rsidP="00AF34DF">
      <w:pPr>
        <w:pStyle w:val="Heading2"/>
        <w:numPr>
          <w:ilvl w:val="1"/>
          <w:numId w:val="14"/>
        </w:numPr>
      </w:pPr>
      <w:bookmarkStart w:id="25" w:name="_Toc152578199"/>
      <w:bookmarkStart w:id="26" w:name="_Toc164420855"/>
      <w:r>
        <w:t>Objectives</w:t>
      </w:r>
      <w:bookmarkEnd w:id="25"/>
      <w:bookmarkEnd w:id="26"/>
    </w:p>
    <w:p w14:paraId="5B4B60B4" w14:textId="0B5B2A8E" w:rsidR="00DA5B27" w:rsidRPr="00AA0CBE" w:rsidRDefault="00DA5B27" w:rsidP="00DA5B27">
      <w:pPr>
        <w:pStyle w:val="BodyText"/>
      </w:pPr>
      <w:bookmarkStart w:id="27" w:name="_Toc152578200"/>
      <w:r>
        <w:t>The overall objectives of this CHRMAP were to:</w:t>
      </w:r>
    </w:p>
    <w:p w14:paraId="75C9CD27" w14:textId="460F47F5" w:rsidR="00DA5B27" w:rsidRPr="00AA0CBE" w:rsidRDefault="00DA5B27" w:rsidP="00B32A91">
      <w:pPr>
        <w:pStyle w:val="ListBullet0"/>
        <w:numPr>
          <w:ilvl w:val="0"/>
          <w:numId w:val="17"/>
        </w:numPr>
      </w:pPr>
      <w:r w:rsidRPr="00AA0CBE">
        <w:t>Improve understanding of coastal features, processes and hazards in the study area</w:t>
      </w:r>
      <w:r w:rsidR="00475DDD">
        <w:t xml:space="preserve"> </w:t>
      </w:r>
    </w:p>
    <w:p w14:paraId="59D0435C" w14:textId="77777777" w:rsidR="00DA5B27" w:rsidRPr="00AA0CBE" w:rsidRDefault="00DA5B27" w:rsidP="00B32A91">
      <w:pPr>
        <w:pStyle w:val="ListBullet0"/>
        <w:numPr>
          <w:ilvl w:val="0"/>
          <w:numId w:val="17"/>
        </w:numPr>
      </w:pPr>
      <w:r w:rsidRPr="00AA0CBE">
        <w:t xml:space="preserve">Consider rainfall and catchment flooding in addition to storm surge inundation </w:t>
      </w:r>
    </w:p>
    <w:p w14:paraId="25B4F35F" w14:textId="17BC38E1" w:rsidR="00DA5B27" w:rsidRPr="00AA0CBE" w:rsidRDefault="00DA5B27" w:rsidP="00B32A91">
      <w:pPr>
        <w:pStyle w:val="ListBullet0"/>
        <w:numPr>
          <w:ilvl w:val="0"/>
          <w:numId w:val="17"/>
        </w:numPr>
      </w:pPr>
      <w:r w:rsidRPr="00AA0CBE">
        <w:t>Identify significant vulnerability trigger points and respective timeframes for the relevant sediment cells to mark the need for immediate or medium</w:t>
      </w:r>
      <w:r w:rsidRPr="00B32A91">
        <w:rPr>
          <w:rFonts w:ascii="Cambria Math" w:hAnsi="Cambria Math" w:cs="Cambria Math"/>
        </w:rPr>
        <w:t>‐</w:t>
      </w:r>
      <w:r w:rsidRPr="00AA0CBE">
        <w:t>term risk management measures</w:t>
      </w:r>
      <w:r w:rsidR="00475DDD">
        <w:t xml:space="preserve"> </w:t>
      </w:r>
    </w:p>
    <w:p w14:paraId="29E939E9" w14:textId="410D6E78" w:rsidR="00DA5B27" w:rsidRPr="00AA0CBE" w:rsidRDefault="00DA5B27" w:rsidP="00B32A91">
      <w:pPr>
        <w:pStyle w:val="ListBullet0"/>
        <w:numPr>
          <w:ilvl w:val="0"/>
          <w:numId w:val="17"/>
        </w:numPr>
      </w:pPr>
      <w:r w:rsidRPr="00AA0CBE">
        <w:t>Identify assets (natural and man</w:t>
      </w:r>
      <w:r w:rsidRPr="00B32A91">
        <w:rPr>
          <w:rFonts w:ascii="Cambria Math" w:hAnsi="Cambria Math" w:cs="Cambria Math"/>
        </w:rPr>
        <w:t>‐</w:t>
      </w:r>
      <w:r w:rsidRPr="00AA0CBE">
        <w:t>made) and the services and functions they provide situated in the coastal zone</w:t>
      </w:r>
      <w:r w:rsidR="00475DDD">
        <w:t xml:space="preserve"> </w:t>
      </w:r>
    </w:p>
    <w:p w14:paraId="735F7489" w14:textId="181D9998" w:rsidR="00DA5B27" w:rsidRPr="00AA0CBE" w:rsidRDefault="00DA5B27" w:rsidP="00B32A91">
      <w:pPr>
        <w:pStyle w:val="ListBullet0"/>
        <w:numPr>
          <w:ilvl w:val="0"/>
          <w:numId w:val="17"/>
        </w:numPr>
      </w:pPr>
      <w:r w:rsidRPr="00AA0CBE">
        <w:t>Gain an understanding of asset(s)</w:t>
      </w:r>
      <w:r>
        <w:t>’</w:t>
      </w:r>
      <w:r w:rsidRPr="00AA0CBE">
        <w:t xml:space="preserve"> vulnerability</w:t>
      </w:r>
      <w:r w:rsidR="00475DDD">
        <w:t xml:space="preserve"> </w:t>
      </w:r>
    </w:p>
    <w:p w14:paraId="3006A441" w14:textId="77777777" w:rsidR="00DA5B27" w:rsidRPr="00AA0CBE" w:rsidRDefault="00DA5B27" w:rsidP="00B32A91">
      <w:pPr>
        <w:pStyle w:val="ListBullet0"/>
        <w:numPr>
          <w:ilvl w:val="0"/>
          <w:numId w:val="17"/>
        </w:numPr>
      </w:pPr>
      <w:r w:rsidRPr="00AA0CBE">
        <w:t>Identify the value of the assets that are vulnerable to adverse impacts from coastal hazards</w:t>
      </w:r>
    </w:p>
    <w:p w14:paraId="09D82E74" w14:textId="2E07F26E" w:rsidR="00DA5B27" w:rsidRPr="00AA0CBE" w:rsidRDefault="00DA5B27" w:rsidP="00B32A91">
      <w:pPr>
        <w:pStyle w:val="ListBullet0"/>
        <w:numPr>
          <w:ilvl w:val="0"/>
          <w:numId w:val="17"/>
        </w:numPr>
      </w:pPr>
      <w:r w:rsidRPr="00AA0CBE">
        <w:t>Determine the consequence and likelihood of coastal hazards on the assets, and assign a level of risk</w:t>
      </w:r>
      <w:r w:rsidR="00475DDD">
        <w:t xml:space="preserve"> </w:t>
      </w:r>
    </w:p>
    <w:p w14:paraId="457ACDA4" w14:textId="77777777" w:rsidR="00DA5B27" w:rsidRPr="00AA0CBE" w:rsidRDefault="00DA5B27" w:rsidP="00B32A91">
      <w:pPr>
        <w:pStyle w:val="ListBullet0"/>
        <w:numPr>
          <w:ilvl w:val="0"/>
          <w:numId w:val="17"/>
        </w:numPr>
      </w:pPr>
      <w:r w:rsidRPr="00AA0CBE">
        <w:t>Identify possible (effective) risk management measures (or ‘actions’) and how these can be incorporated into short and longer</w:t>
      </w:r>
      <w:r w:rsidRPr="00B32A91">
        <w:rPr>
          <w:rFonts w:ascii="Cambria Math" w:hAnsi="Cambria Math" w:cs="Cambria Math"/>
        </w:rPr>
        <w:t>‐</w:t>
      </w:r>
      <w:r w:rsidRPr="00AA0CBE">
        <w:t>term decision</w:t>
      </w:r>
      <w:r w:rsidRPr="00B32A91">
        <w:rPr>
          <w:rFonts w:ascii="Cambria Math" w:hAnsi="Cambria Math" w:cs="Cambria Math"/>
        </w:rPr>
        <w:t>‐</w:t>
      </w:r>
      <w:r w:rsidRPr="00AA0CBE">
        <w:t>making</w:t>
      </w:r>
    </w:p>
    <w:p w14:paraId="132FDA95" w14:textId="77777777" w:rsidR="00DA5B27" w:rsidRPr="00AA0CBE" w:rsidRDefault="00DA5B27" w:rsidP="00B32A91">
      <w:pPr>
        <w:pStyle w:val="ListBullet0"/>
        <w:numPr>
          <w:ilvl w:val="0"/>
          <w:numId w:val="17"/>
        </w:numPr>
      </w:pPr>
      <w:r w:rsidRPr="00AA0CBE">
        <w:t>Engage stakeholders and the community in the planning and decision</w:t>
      </w:r>
      <w:r w:rsidRPr="00B32A91">
        <w:rPr>
          <w:rFonts w:ascii="Cambria Math" w:hAnsi="Cambria Math" w:cs="Cambria Math"/>
        </w:rPr>
        <w:t>‐</w:t>
      </w:r>
      <w:r w:rsidRPr="00AA0CBE">
        <w:t>making process.</w:t>
      </w:r>
    </w:p>
    <w:p w14:paraId="2294AB12" w14:textId="77777777" w:rsidR="00AF34DF" w:rsidRDefault="00AF34DF" w:rsidP="00AF34DF">
      <w:pPr>
        <w:pStyle w:val="Heading2"/>
        <w:numPr>
          <w:ilvl w:val="1"/>
          <w:numId w:val="14"/>
        </w:numPr>
      </w:pPr>
      <w:bookmarkStart w:id="28" w:name="_Toc164420856"/>
      <w:r>
        <w:t>Scope</w:t>
      </w:r>
      <w:bookmarkEnd w:id="27"/>
      <w:bookmarkEnd w:id="28"/>
    </w:p>
    <w:p w14:paraId="3C738B16" w14:textId="77777777" w:rsidR="00AF34DF" w:rsidRPr="00491743" w:rsidRDefault="00AF34DF" w:rsidP="00AF34DF">
      <w:pPr>
        <w:pStyle w:val="BodyText"/>
      </w:pPr>
      <w:r>
        <w:t>This CHRMAP identifies values and assets with intolerable risk levels to the coastal erosion and inundation hazards within the study area. Risk management measures were considered to reduce risks to tolerable levels. Tasks to implement the measures are summarised to provide strategic guidance on medium and longer-term risk management but provide more focus on short-term (&lt;25 years) management measures. The CHRMAP has focussed on preserving assets and values which provide public benefit, although private at-risk assets are also identified.</w:t>
      </w:r>
    </w:p>
    <w:p w14:paraId="37AB91A7" w14:textId="77777777" w:rsidR="00AF34DF" w:rsidRDefault="00AF34DF" w:rsidP="00AF34DF">
      <w:pPr>
        <w:pStyle w:val="Heading2"/>
        <w:numPr>
          <w:ilvl w:val="1"/>
          <w:numId w:val="14"/>
        </w:numPr>
      </w:pPr>
      <w:bookmarkStart w:id="29" w:name="_Toc152578201"/>
      <w:bookmarkStart w:id="30" w:name="_Toc164420857"/>
      <w:r>
        <w:lastRenderedPageBreak/>
        <w:t>Local Context</w:t>
      </w:r>
      <w:bookmarkEnd w:id="29"/>
      <w:bookmarkEnd w:id="30"/>
    </w:p>
    <w:p w14:paraId="2A9600B4" w14:textId="10028D6A" w:rsidR="0004471D" w:rsidRDefault="0004471D" w:rsidP="0004471D">
      <w:pPr>
        <w:pStyle w:val="BodyText"/>
        <w:spacing w:line="276" w:lineRule="auto"/>
      </w:pPr>
      <w:r w:rsidRPr="007212DA">
        <w:t>Princess Royal Harbour is a semi-enclosed</w:t>
      </w:r>
      <w:r>
        <w:t>,</w:t>
      </w:r>
      <w:r w:rsidRPr="007212DA">
        <w:t xml:space="preserve"> natural </w:t>
      </w:r>
      <w:r>
        <w:t>harbour</w:t>
      </w:r>
      <w:r w:rsidRPr="007212DA">
        <w:t xml:space="preserve"> </w:t>
      </w:r>
      <w:r>
        <w:t>in</w:t>
      </w:r>
      <w:r w:rsidRPr="007212DA">
        <w:t xml:space="preserve"> Albany on the south coast of </w:t>
      </w:r>
      <w:r>
        <w:t xml:space="preserve">Western Australia </w:t>
      </w:r>
      <w:r w:rsidR="00D452A9">
        <w:t>(</w:t>
      </w:r>
      <w:r w:rsidR="00D452A9">
        <w:fldChar w:fldCharType="begin"/>
      </w:r>
      <w:r w:rsidR="00D452A9">
        <w:instrText xml:space="preserve"> REF _Ref125733967 \h </w:instrText>
      </w:r>
      <w:r w:rsidR="00D452A9">
        <w:fldChar w:fldCharType="separate"/>
      </w:r>
      <w:r w:rsidR="00D452A9">
        <w:t>Figure </w:t>
      </w:r>
      <w:r w:rsidR="00D452A9">
        <w:rPr>
          <w:noProof/>
        </w:rPr>
        <w:t>1</w:t>
      </w:r>
      <w:r w:rsidR="00D452A9">
        <w:noBreakHyphen/>
      </w:r>
      <w:r w:rsidR="00D452A9">
        <w:rPr>
          <w:noProof/>
        </w:rPr>
        <w:t>1</w:t>
      </w:r>
      <w:r w:rsidR="00D452A9">
        <w:fldChar w:fldCharType="end"/>
      </w:r>
      <w:r w:rsidR="00D452A9">
        <w:t>).</w:t>
      </w:r>
      <w:r w:rsidRPr="007212DA">
        <w:t xml:space="preserve"> The Harbour is </w:t>
      </w:r>
      <w:r>
        <w:t xml:space="preserve">approximately </w:t>
      </w:r>
      <w:r w:rsidRPr="007212DA">
        <w:t>4 km wide and 8 km long, with an approximate area of 2</w:t>
      </w:r>
      <w:r>
        <w:t>8</w:t>
      </w:r>
      <w:r w:rsidRPr="007212DA">
        <w:t xml:space="preserve"> </w:t>
      </w:r>
      <w:r>
        <w:t>km</w:t>
      </w:r>
      <w:r>
        <w:rPr>
          <w:vertAlign w:val="superscript"/>
        </w:rPr>
        <w:t>2</w:t>
      </w:r>
      <w:r w:rsidRPr="007212DA">
        <w:t xml:space="preserve">. It is oriented in a </w:t>
      </w:r>
      <w:r>
        <w:t>north-west to south-east</w:t>
      </w:r>
      <w:r w:rsidRPr="007212DA">
        <w:t xml:space="preserve"> direction and is connected via the Ataturk entrance to the more </w:t>
      </w:r>
      <w:r>
        <w:t>exposed coastal waters</w:t>
      </w:r>
      <w:r w:rsidRPr="007212DA">
        <w:t xml:space="preserve"> of King George Sound</w:t>
      </w:r>
      <w:r>
        <w:t xml:space="preserve"> and the southern Indian Ocean</w:t>
      </w:r>
      <w:r w:rsidRPr="007212DA">
        <w:t>.</w:t>
      </w:r>
      <w:r>
        <w:t xml:space="preserve"> The harbour is not connected to any rivers but receives freshwater inflow from rainfall runoff, groundwater seepage and drainage discharge associated with the adjacent land catchment and drainage infrastructure. The harbour contains substantial subtidal seagrass meadows and the working Port of Albany, </w:t>
      </w:r>
      <w:r w:rsidRPr="00565EAC">
        <w:t xml:space="preserve">which is a bulk products port, </w:t>
      </w:r>
      <w:r>
        <w:t>exporting mainly</w:t>
      </w:r>
      <w:r w:rsidRPr="00565EAC">
        <w:t xml:space="preserve"> grain and woodchips, in the order of 3</w:t>
      </w:r>
      <w:r>
        <w:t xml:space="preserve"> to </w:t>
      </w:r>
      <w:r w:rsidRPr="00565EAC">
        <w:t>4 million tonnes per annum. Other smaller trades are the export of silica sand and the import of fertiliser and fuel.</w:t>
      </w:r>
      <w:r>
        <w:t xml:space="preserve"> </w:t>
      </w:r>
    </w:p>
    <w:p w14:paraId="57A5CD3C" w14:textId="0F9B87DC" w:rsidR="0004471D" w:rsidRDefault="0004471D" w:rsidP="0004471D">
      <w:pPr>
        <w:pStyle w:val="BodyText"/>
      </w:pPr>
      <w:r>
        <w:t>Princess Royal Harbour is classified as a ‘tidal reach of inland waters’ by SPP2.6 (WAPC, 2013). This means that it is an inland waterbody that is predominantly controlled by coastal related processes, such as tides and sea level variations. Within the harbour there are areas of ‘sandy’, ‘rocky’ (generally ‘hard rock’) and ‘mixed sandy and rocky’ coast per the definitions in SPP2.6, as well ‘hardened’ shorelines being controlled by coastal structures.</w:t>
      </w:r>
    </w:p>
    <w:p w14:paraId="4AF28A2A" w14:textId="77777777" w:rsidR="00AF34DF" w:rsidRDefault="00AF34DF" w:rsidP="00AF34DF">
      <w:pPr>
        <w:pStyle w:val="Heading2"/>
        <w:numPr>
          <w:ilvl w:val="1"/>
          <w:numId w:val="14"/>
        </w:numPr>
      </w:pPr>
      <w:bookmarkStart w:id="31" w:name="_Toc152578204"/>
      <w:bookmarkStart w:id="32" w:name="_Toc164420858"/>
      <w:r>
        <w:t>Existing Planning Controls</w:t>
      </w:r>
      <w:bookmarkEnd w:id="31"/>
      <w:bookmarkEnd w:id="32"/>
    </w:p>
    <w:p w14:paraId="55AB5D33" w14:textId="3756834B" w:rsidR="00AF34DF" w:rsidRPr="00491743" w:rsidRDefault="00AF34DF" w:rsidP="00AF34DF">
      <w:pPr>
        <w:pStyle w:val="BodyText"/>
      </w:pPr>
      <w:r w:rsidRPr="00491743">
        <w:t xml:space="preserve">Planning in Western Australia is guided and regulated by the State Planning Framework, which ranges from overarching strategic planning strategies, to specific planning policies and supportive guidelines. </w:t>
      </w:r>
      <w:r w:rsidRPr="00491743">
        <w:fldChar w:fldCharType="begin"/>
      </w:r>
      <w:r w:rsidRPr="00491743">
        <w:instrText xml:space="preserve"> REF _Ref74917560 \h </w:instrText>
      </w:r>
      <w:r w:rsidRPr="00491743">
        <w:fldChar w:fldCharType="separate"/>
      </w:r>
      <w:r w:rsidR="00594B04" w:rsidRPr="00491743">
        <w:t xml:space="preserve">Figure </w:t>
      </w:r>
      <w:r w:rsidR="00594B04">
        <w:rPr>
          <w:noProof/>
        </w:rPr>
        <w:t>2</w:t>
      </w:r>
      <w:r w:rsidR="00594B04">
        <w:noBreakHyphen/>
      </w:r>
      <w:r w:rsidR="00594B04">
        <w:rPr>
          <w:noProof/>
        </w:rPr>
        <w:t>1</w:t>
      </w:r>
      <w:r w:rsidRPr="00491743">
        <w:fldChar w:fldCharType="end"/>
      </w:r>
      <w:r w:rsidRPr="00491743">
        <w:t xml:space="preserve"> explains the framework, which includes planning at the state, regional, and local levels and demonstrates how strategic planning is implemented through statutory planning controls (e.g., local planning schemes) and local planning policies. This Framework sits within the Planning and Development Act 2005. The relationships of the various policies are presented in </w:t>
      </w:r>
      <w:r w:rsidRPr="00491743">
        <w:fldChar w:fldCharType="begin"/>
      </w:r>
      <w:r w:rsidRPr="00491743">
        <w:instrText xml:space="preserve"> REF _Ref74917632 \h </w:instrText>
      </w:r>
      <w:r w:rsidRPr="00491743">
        <w:fldChar w:fldCharType="separate"/>
      </w:r>
      <w:r w:rsidR="00594B04" w:rsidRPr="00491743">
        <w:t xml:space="preserve">Figure </w:t>
      </w:r>
      <w:r w:rsidR="00594B04">
        <w:rPr>
          <w:noProof/>
        </w:rPr>
        <w:t>2</w:t>
      </w:r>
      <w:r w:rsidR="00594B04">
        <w:noBreakHyphen/>
      </w:r>
      <w:r w:rsidR="00594B04">
        <w:rPr>
          <w:noProof/>
        </w:rPr>
        <w:t>2</w:t>
      </w:r>
      <w:r w:rsidRPr="00491743">
        <w:fldChar w:fldCharType="end"/>
      </w:r>
      <w:r w:rsidRPr="00491743">
        <w:t>.</w:t>
      </w:r>
    </w:p>
    <w:p w14:paraId="2A2363FE" w14:textId="1463BF2E" w:rsidR="00AF34DF" w:rsidRPr="00491743" w:rsidRDefault="00AF34DF" w:rsidP="00AF34DF">
      <w:pPr>
        <w:pStyle w:val="BodyText"/>
      </w:pPr>
      <w:r>
        <w:t xml:space="preserve">The planning documents within this Framework were reviewed to determine which are relevant to coastal hazard planning in the project area. This review helped to: assess the adequacy of the existing planning documents for addressing coastal hazards; identify gaps that needed to be addressed through the CHRMAP process (such as planning controls that are </w:t>
      </w:r>
      <w:r w:rsidR="00DA5B27">
        <w:t>required or</w:t>
      </w:r>
      <w:r>
        <w:t xml:space="preserve"> need amending to enable implementation of CHRMAP recommendations); identify any potential planning issues that may constrain the CHRMAP process; and ensured that the adaptation plan aligns with state, regional and local planning frameworks.</w:t>
      </w:r>
    </w:p>
    <w:p w14:paraId="2ABFC16B" w14:textId="77777777" w:rsidR="00AF34DF" w:rsidRPr="00491743" w:rsidRDefault="00AF34DF" w:rsidP="00AF34DF">
      <w:pPr>
        <w:pStyle w:val="BodyText"/>
      </w:pPr>
      <w:r>
        <w:rPr>
          <w:noProof/>
        </w:rPr>
        <w:lastRenderedPageBreak/>
        <w:drawing>
          <wp:inline distT="0" distB="0" distL="0" distR="0" wp14:anchorId="71999C64" wp14:editId="2D119DD1">
            <wp:extent cx="6120130" cy="3328670"/>
            <wp:effectExtent l="0" t="0" r="0" b="5080"/>
            <wp:docPr id="470" name="Picture 4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Diagram&#10;&#10;Description automatically generated"/>
                    <pic:cNvPicPr/>
                  </pic:nvPicPr>
                  <pic:blipFill>
                    <a:blip r:embed="rId27"/>
                    <a:stretch>
                      <a:fillRect/>
                    </a:stretch>
                  </pic:blipFill>
                  <pic:spPr>
                    <a:xfrm>
                      <a:off x="0" y="0"/>
                      <a:ext cx="6120130" cy="3328670"/>
                    </a:xfrm>
                    <a:prstGeom prst="rect">
                      <a:avLst/>
                    </a:prstGeom>
                  </pic:spPr>
                </pic:pic>
              </a:graphicData>
            </a:graphic>
          </wp:inline>
        </w:drawing>
      </w:r>
    </w:p>
    <w:p w14:paraId="196BFDEA" w14:textId="7B496C63" w:rsidR="00AF34DF" w:rsidRPr="00491743" w:rsidRDefault="00AF34DF" w:rsidP="00AF34DF">
      <w:pPr>
        <w:pStyle w:val="FigureCaption"/>
      </w:pPr>
      <w:bookmarkStart w:id="33" w:name="_Ref74917560"/>
      <w:bookmarkStart w:id="34" w:name="_Toc78267464"/>
      <w:bookmarkStart w:id="35" w:name="_Toc152578282"/>
      <w:bookmarkStart w:id="36" w:name="_Toc164411264"/>
      <w:r w:rsidRPr="00491743">
        <w:t xml:space="preserve">Figure </w:t>
      </w:r>
      <w:r w:rsidR="008647EF">
        <w:fldChar w:fldCharType="begin"/>
      </w:r>
      <w:r w:rsidR="008647EF">
        <w:instrText xml:space="preserve"> STYLEREF 1 \s </w:instrText>
      </w:r>
      <w:r w:rsidR="008647EF">
        <w:fldChar w:fldCharType="separate"/>
      </w:r>
      <w:r w:rsidR="008647EF">
        <w:rPr>
          <w:noProof/>
        </w:rPr>
        <w:t>2</w:t>
      </w:r>
      <w:r w:rsidR="008647EF">
        <w:fldChar w:fldCharType="end"/>
      </w:r>
      <w:r w:rsidR="008647EF">
        <w:noBreakHyphen/>
      </w:r>
      <w:r w:rsidR="008647EF">
        <w:fldChar w:fldCharType="begin"/>
      </w:r>
      <w:r w:rsidR="008647EF">
        <w:instrText xml:space="preserve"> SEQ Figure \* ARABIC \s 1 </w:instrText>
      </w:r>
      <w:r w:rsidR="008647EF">
        <w:fldChar w:fldCharType="separate"/>
      </w:r>
      <w:r w:rsidR="008647EF">
        <w:rPr>
          <w:noProof/>
        </w:rPr>
        <w:t>1</w:t>
      </w:r>
      <w:r w:rsidR="008647EF">
        <w:fldChar w:fldCharType="end"/>
      </w:r>
      <w:bookmarkEnd w:id="33"/>
      <w:r w:rsidRPr="00491743">
        <w:tab/>
        <w:t>State Planning Framework for Western Australia</w:t>
      </w:r>
      <w:bookmarkEnd w:id="34"/>
      <w:bookmarkEnd w:id="35"/>
      <w:bookmarkEnd w:id="36"/>
    </w:p>
    <w:p w14:paraId="5EF8BDE4" w14:textId="77777777" w:rsidR="00AF34DF" w:rsidRPr="00491743" w:rsidRDefault="00AF34DF" w:rsidP="00AF34DF">
      <w:pPr>
        <w:pStyle w:val="Heading2"/>
        <w:numPr>
          <w:ilvl w:val="1"/>
          <w:numId w:val="14"/>
        </w:numPr>
      </w:pPr>
      <w:bookmarkStart w:id="37" w:name="_Toc78267436"/>
      <w:bookmarkStart w:id="38" w:name="_Toc152578205"/>
      <w:bookmarkStart w:id="39" w:name="_Toc164420859"/>
      <w:r w:rsidRPr="00491743">
        <w:t>State Planning Policies and Strategies</w:t>
      </w:r>
      <w:bookmarkEnd w:id="37"/>
      <w:bookmarkEnd w:id="38"/>
      <w:bookmarkEnd w:id="39"/>
    </w:p>
    <w:p w14:paraId="0799C366" w14:textId="77777777" w:rsidR="00AF34DF" w:rsidRPr="00491743" w:rsidRDefault="00AF34DF" w:rsidP="00AF34DF">
      <w:pPr>
        <w:pStyle w:val="BodyText"/>
      </w:pPr>
      <w:r w:rsidRPr="00491743">
        <w:t>The following state documents have been reviewed</w:t>
      </w:r>
      <w:r>
        <w:t>. Information relevant to the CHRMAP has been included below</w:t>
      </w:r>
      <w:r w:rsidRPr="00491743">
        <w:t>:</w:t>
      </w:r>
    </w:p>
    <w:p w14:paraId="30E9E54A" w14:textId="77777777" w:rsidR="00AF34DF" w:rsidRPr="00491743" w:rsidRDefault="00AF34DF" w:rsidP="00B32A91">
      <w:pPr>
        <w:pStyle w:val="ListBullet0"/>
        <w:numPr>
          <w:ilvl w:val="0"/>
          <w:numId w:val="17"/>
        </w:numPr>
      </w:pPr>
      <w:r w:rsidRPr="00491743">
        <w:t xml:space="preserve">State Planning Strategy 2050 </w:t>
      </w:r>
    </w:p>
    <w:p w14:paraId="180E1B6E" w14:textId="77777777" w:rsidR="00AF34DF" w:rsidRPr="00491743" w:rsidRDefault="00AF34DF" w:rsidP="00B32A91">
      <w:pPr>
        <w:pStyle w:val="ListBullet0"/>
        <w:numPr>
          <w:ilvl w:val="0"/>
          <w:numId w:val="17"/>
        </w:numPr>
      </w:pPr>
      <w:r w:rsidRPr="00491743">
        <w:t xml:space="preserve">The WA Coastal </w:t>
      </w:r>
      <w:r>
        <w:t xml:space="preserve">Zone </w:t>
      </w:r>
      <w:r w:rsidRPr="00491743">
        <w:t>Strategy 2017</w:t>
      </w:r>
    </w:p>
    <w:p w14:paraId="703F12BD" w14:textId="77777777" w:rsidR="00AF34DF" w:rsidRDefault="00AF34DF" w:rsidP="00B32A91">
      <w:pPr>
        <w:pStyle w:val="ListBullet0"/>
        <w:numPr>
          <w:ilvl w:val="0"/>
          <w:numId w:val="17"/>
        </w:numPr>
      </w:pPr>
      <w:r w:rsidRPr="00491743">
        <w:t xml:space="preserve">State Planning Policy 2.6 – </w:t>
      </w:r>
      <w:r>
        <w:t xml:space="preserve">State </w:t>
      </w:r>
      <w:r w:rsidRPr="00491743">
        <w:t>Coastal Planning</w:t>
      </w:r>
      <w:r>
        <w:t xml:space="preserve"> Policy, and associated Guidelines</w:t>
      </w:r>
    </w:p>
    <w:p w14:paraId="3B3D1B42" w14:textId="77777777" w:rsidR="00AF34DF" w:rsidRPr="00491743" w:rsidRDefault="00AF34DF" w:rsidP="00B32A91">
      <w:pPr>
        <w:pStyle w:val="ListBullet0"/>
        <w:numPr>
          <w:ilvl w:val="0"/>
          <w:numId w:val="17"/>
        </w:numPr>
      </w:pPr>
      <w:r w:rsidRPr="00491743">
        <w:t>Coastal Hazard Risk Management and Adaptation Planning Guidelines 2019</w:t>
      </w:r>
    </w:p>
    <w:p w14:paraId="324B7A9C" w14:textId="77777777" w:rsidR="00AF34DF" w:rsidRPr="00491743" w:rsidRDefault="00AF34DF" w:rsidP="00B32A91">
      <w:pPr>
        <w:pStyle w:val="ListBullet0"/>
        <w:numPr>
          <w:ilvl w:val="0"/>
          <w:numId w:val="17"/>
        </w:numPr>
      </w:pPr>
      <w:r w:rsidRPr="00491743">
        <w:t>State Planning Policy 3.4: Natural Hazards and Disasters</w:t>
      </w:r>
    </w:p>
    <w:p w14:paraId="14AB7F07" w14:textId="77777777" w:rsidR="00AF34DF" w:rsidRPr="00491743" w:rsidRDefault="00AF34DF" w:rsidP="00AF34DF">
      <w:pPr>
        <w:pStyle w:val="BodyText3"/>
        <w:jc w:val="center"/>
      </w:pPr>
      <w:r w:rsidRPr="00491743">
        <w:rPr>
          <w:rFonts w:eastAsiaTheme="minorHAnsi" w:cstheme="minorBidi"/>
          <w:noProof/>
          <w:sz w:val="16"/>
          <w:lang w:eastAsia="en-US"/>
        </w:rPr>
        <w:lastRenderedPageBreak/>
        <w:drawing>
          <wp:inline distT="0" distB="0" distL="0" distR="0" wp14:anchorId="17E02D93" wp14:editId="0E41214B">
            <wp:extent cx="4834547" cy="5218628"/>
            <wp:effectExtent l="0" t="0" r="4445" b="1270"/>
            <wp:docPr id="476" name="Picture 476" descr="Graphical user interface, diagram,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Graphical user interface, diagram, application&#10;&#10;Description automatically generated"/>
                    <pic:cNvPicPr/>
                  </pic:nvPicPr>
                  <pic:blipFill>
                    <a:blip r:embed="rId28"/>
                    <a:stretch>
                      <a:fillRect/>
                    </a:stretch>
                  </pic:blipFill>
                  <pic:spPr>
                    <a:xfrm>
                      <a:off x="0" y="0"/>
                      <a:ext cx="4834547" cy="5218628"/>
                    </a:xfrm>
                    <a:prstGeom prst="rect">
                      <a:avLst/>
                    </a:prstGeom>
                  </pic:spPr>
                </pic:pic>
              </a:graphicData>
            </a:graphic>
          </wp:inline>
        </w:drawing>
      </w:r>
    </w:p>
    <w:p w14:paraId="1234E68B" w14:textId="123D0B1A" w:rsidR="00AF34DF" w:rsidRPr="00491743" w:rsidRDefault="00AF34DF" w:rsidP="00AF34DF">
      <w:pPr>
        <w:pStyle w:val="FigureCaption"/>
      </w:pPr>
      <w:bookmarkStart w:id="40" w:name="_Ref74917632"/>
      <w:bookmarkStart w:id="41" w:name="_Toc74840515"/>
      <w:bookmarkStart w:id="42" w:name="_Toc78267465"/>
      <w:bookmarkStart w:id="43" w:name="_Toc152578283"/>
      <w:bookmarkStart w:id="44" w:name="_Toc164411265"/>
      <w:r w:rsidRPr="00491743">
        <w:t xml:space="preserve">Figure </w:t>
      </w:r>
      <w:r w:rsidR="008647EF">
        <w:fldChar w:fldCharType="begin"/>
      </w:r>
      <w:r w:rsidR="008647EF">
        <w:instrText xml:space="preserve"> STYLEREF 1 \s </w:instrText>
      </w:r>
      <w:r w:rsidR="008647EF">
        <w:fldChar w:fldCharType="separate"/>
      </w:r>
      <w:r w:rsidR="008647EF">
        <w:rPr>
          <w:noProof/>
        </w:rPr>
        <w:t>2</w:t>
      </w:r>
      <w:r w:rsidR="008647EF">
        <w:fldChar w:fldCharType="end"/>
      </w:r>
      <w:r w:rsidR="008647EF">
        <w:noBreakHyphen/>
      </w:r>
      <w:r w:rsidR="008647EF">
        <w:fldChar w:fldCharType="begin"/>
      </w:r>
      <w:r w:rsidR="008647EF">
        <w:instrText xml:space="preserve"> SEQ Figure \* ARABIC \s 1 </w:instrText>
      </w:r>
      <w:r w:rsidR="008647EF">
        <w:fldChar w:fldCharType="separate"/>
      </w:r>
      <w:r w:rsidR="008647EF">
        <w:rPr>
          <w:noProof/>
        </w:rPr>
        <w:t>2</w:t>
      </w:r>
      <w:r w:rsidR="008647EF">
        <w:fldChar w:fldCharType="end"/>
      </w:r>
      <w:bookmarkEnd w:id="40"/>
      <w:r w:rsidRPr="00491743">
        <w:tab/>
        <w:t>Policy Relationships</w:t>
      </w:r>
      <w:bookmarkEnd w:id="41"/>
      <w:bookmarkEnd w:id="42"/>
      <w:bookmarkEnd w:id="43"/>
      <w:bookmarkEnd w:id="44"/>
    </w:p>
    <w:p w14:paraId="127D226A" w14:textId="7CB4FE18" w:rsidR="00AF34DF" w:rsidRDefault="00AF34DF" w:rsidP="00AF34DF">
      <w:pPr>
        <w:pStyle w:val="BodyText"/>
      </w:pPr>
      <w:r>
        <w:t>Regional and local planning documents were also reviewed for study area and discussed further in the Establish the Context Report</w:t>
      </w:r>
      <w:r w:rsidR="00983B48">
        <w:t xml:space="preserve"> (</w:t>
      </w:r>
      <w:r w:rsidR="00983B48">
        <w:fldChar w:fldCharType="begin"/>
      </w:r>
      <w:r w:rsidR="00983B48">
        <w:instrText xml:space="preserve"> REF _Ref164238301 \n \h </w:instrText>
      </w:r>
      <w:r w:rsidR="00983B48">
        <w:fldChar w:fldCharType="separate"/>
      </w:r>
      <w:r w:rsidR="00983B48">
        <w:t>Appendix B</w:t>
      </w:r>
      <w:r w:rsidR="00983B48">
        <w:fldChar w:fldCharType="end"/>
      </w:r>
      <w:r w:rsidR="00983B48">
        <w:t>)</w:t>
      </w:r>
      <w:r>
        <w:t>.</w:t>
      </w:r>
    </w:p>
    <w:p w14:paraId="659DEDA9" w14:textId="77777777" w:rsidR="00AF34DF" w:rsidRPr="00B814F7" w:rsidRDefault="00AF34DF" w:rsidP="00AF34DF">
      <w:pPr>
        <w:pStyle w:val="Heading2"/>
        <w:numPr>
          <w:ilvl w:val="1"/>
          <w:numId w:val="14"/>
        </w:numPr>
      </w:pPr>
      <w:bookmarkStart w:id="45" w:name="_Toc152578206"/>
      <w:bookmarkStart w:id="46" w:name="_Ref163221663"/>
      <w:bookmarkStart w:id="47" w:name="_Toc164420860"/>
      <w:r>
        <w:t>Community and Stakeholder Engagement</w:t>
      </w:r>
      <w:bookmarkEnd w:id="45"/>
      <w:bookmarkEnd w:id="46"/>
      <w:bookmarkEnd w:id="47"/>
    </w:p>
    <w:p w14:paraId="0C9D6CEC" w14:textId="43C7E952" w:rsidR="00AA0127" w:rsidRPr="00491743" w:rsidRDefault="00526BE7" w:rsidP="00AA0127">
      <w:pPr>
        <w:pStyle w:val="BodyText"/>
      </w:pPr>
      <w:r>
        <w:t xml:space="preserve">Key to the success of the CHRMAP project will be to ensure that the adaptation plan is underpinned by community and stakeholder values and knowledge. To this end, a Community and Stakeholder Engagement Plan </w:t>
      </w:r>
      <w:r w:rsidR="00653321">
        <w:t>was</w:t>
      </w:r>
      <w:r>
        <w:t xml:space="preserve"> developed in order to identify relevant stakeholders and determine the structure and pathways for their engagement throughout the CHRMAP process. The plan </w:t>
      </w:r>
      <w:r w:rsidR="00653321">
        <w:t>wa</w:t>
      </w:r>
      <w:r>
        <w:t>s intended to be fit-for-purpose, and commensurate with the size and scope of the CHRMAP – so as to avoid consultation fatigue within the community.</w:t>
      </w:r>
      <w:r w:rsidR="00AA0127">
        <w:t xml:space="preserve"> </w:t>
      </w:r>
      <w:r w:rsidR="00AA0127" w:rsidRPr="00491743">
        <w:t xml:space="preserve">This plan </w:t>
      </w:r>
      <w:r w:rsidR="00AA0127">
        <w:t>w</w:t>
      </w:r>
      <w:r w:rsidR="00AA0127" w:rsidRPr="00491743">
        <w:t>as prepared in accordance with the requirements of, and for consistency with, the International Association of Public Participation (IAP2) documentation</w:t>
      </w:r>
      <w:r w:rsidR="00AA0127">
        <w:t>.</w:t>
      </w:r>
    </w:p>
    <w:p w14:paraId="5809E86B" w14:textId="2F577A34" w:rsidR="00526BE7" w:rsidRPr="008373E8" w:rsidRDefault="00B71FE9" w:rsidP="00526BE7">
      <w:pPr>
        <w:pStyle w:val="BodyText"/>
      </w:pPr>
      <w:r w:rsidRPr="00653321">
        <w:fldChar w:fldCharType="begin"/>
      </w:r>
      <w:r w:rsidRPr="00653321">
        <w:instrText xml:space="preserve"> REF _Ref110520681 \h  \* MERGEFORMAT </w:instrText>
      </w:r>
      <w:r w:rsidRPr="00653321">
        <w:fldChar w:fldCharType="separate"/>
      </w:r>
      <w:r>
        <w:t>Table 2</w:t>
      </w:r>
      <w:r>
        <w:noBreakHyphen/>
        <w:t>1</w:t>
      </w:r>
      <w:r w:rsidRPr="00653321">
        <w:fldChar w:fldCharType="end"/>
      </w:r>
      <w:r w:rsidRPr="00653321">
        <w:t xml:space="preserve"> summarises the engagement activities </w:t>
      </w:r>
      <w:r>
        <w:t>undertaken to achieve t</w:t>
      </w:r>
      <w:r w:rsidR="00AA0127" w:rsidRPr="00491743">
        <w:t xml:space="preserve">he overarching objectives of the community and stakeholder engagement plan for the CHRMAP </w:t>
      </w:r>
      <w:r>
        <w:t xml:space="preserve">which </w:t>
      </w:r>
      <w:r w:rsidR="00AA0127">
        <w:t>we</w:t>
      </w:r>
      <w:r w:rsidR="00AA0127" w:rsidRPr="00491743">
        <w:t>re</w:t>
      </w:r>
      <w:r w:rsidR="00AA0127">
        <w:t xml:space="preserve"> to</w:t>
      </w:r>
      <w:r w:rsidR="00526BE7" w:rsidRPr="008373E8">
        <w:t xml:space="preserve">: </w:t>
      </w:r>
    </w:p>
    <w:p w14:paraId="0F262731" w14:textId="77777777" w:rsidR="00526BE7" w:rsidRDefault="00526BE7" w:rsidP="00B32A91">
      <w:pPr>
        <w:pStyle w:val="ListBullet0"/>
        <w:numPr>
          <w:ilvl w:val="0"/>
          <w:numId w:val="17"/>
        </w:numPr>
      </w:pPr>
      <w:r>
        <w:lastRenderedPageBreak/>
        <w:t>Promote knowledge and information sharing to and from community and key stakeholders to support the collection of coastal values, assets and preferred adaptation options, including the planning framework requirements for beneficiaries pays requirements.</w:t>
      </w:r>
    </w:p>
    <w:p w14:paraId="153102EA" w14:textId="77777777" w:rsidR="00526BE7" w:rsidRPr="008373E8" w:rsidRDefault="00526BE7" w:rsidP="00B32A91">
      <w:pPr>
        <w:pStyle w:val="ListBullet0"/>
        <w:numPr>
          <w:ilvl w:val="0"/>
          <w:numId w:val="17"/>
        </w:numPr>
      </w:pPr>
      <w:r w:rsidRPr="008373E8">
        <w:t xml:space="preserve">Break down complicated and technical information to be easy to understand. </w:t>
      </w:r>
    </w:p>
    <w:p w14:paraId="144987A1" w14:textId="77777777" w:rsidR="00526BE7" w:rsidRPr="008373E8" w:rsidRDefault="00526BE7" w:rsidP="00B32A91">
      <w:pPr>
        <w:pStyle w:val="ListBullet0"/>
        <w:numPr>
          <w:ilvl w:val="0"/>
          <w:numId w:val="17"/>
        </w:numPr>
      </w:pPr>
      <w:r w:rsidRPr="008373E8">
        <w:t xml:space="preserve">Aim to reach a diverse range of community members and key stakeholders through various methods. </w:t>
      </w:r>
    </w:p>
    <w:p w14:paraId="63E4DCF0" w14:textId="77777777" w:rsidR="00526BE7" w:rsidRPr="008373E8" w:rsidRDefault="00526BE7" w:rsidP="00B32A91">
      <w:pPr>
        <w:pStyle w:val="ListBullet0"/>
        <w:numPr>
          <w:ilvl w:val="0"/>
          <w:numId w:val="17"/>
        </w:numPr>
      </w:pPr>
      <w:r w:rsidRPr="008373E8">
        <w:t xml:space="preserve">Offer accessible and convenient engagement activities for the community and stakeholders to attend. </w:t>
      </w:r>
    </w:p>
    <w:p w14:paraId="5DFCDEE5" w14:textId="77777777" w:rsidR="00526BE7" w:rsidRPr="008373E8" w:rsidRDefault="00526BE7" w:rsidP="00B32A91">
      <w:pPr>
        <w:pStyle w:val="ListBullet0"/>
        <w:numPr>
          <w:ilvl w:val="0"/>
          <w:numId w:val="17"/>
        </w:numPr>
      </w:pPr>
      <w:r w:rsidRPr="008373E8">
        <w:t xml:space="preserve">Keep the community interested and engaged throughout the project timeline with carefully timed communications and engagement events. </w:t>
      </w:r>
    </w:p>
    <w:p w14:paraId="185F18F4" w14:textId="144EE493" w:rsidR="00526BE7" w:rsidRDefault="00526BE7" w:rsidP="00526BE7">
      <w:pPr>
        <w:pStyle w:val="TableCaption"/>
      </w:pPr>
      <w:bookmarkStart w:id="48" w:name="_Ref110520681"/>
      <w:bookmarkStart w:id="49" w:name="_Toc110521946"/>
      <w:bookmarkStart w:id="50" w:name="_Toc164411273"/>
      <w:r>
        <w:t>Table </w:t>
      </w:r>
      <w:r w:rsidR="008647EF">
        <w:fldChar w:fldCharType="begin"/>
      </w:r>
      <w:r w:rsidR="008647EF">
        <w:instrText xml:space="preserve"> STYLEREF 1 \s </w:instrText>
      </w:r>
      <w:r w:rsidR="008647EF">
        <w:fldChar w:fldCharType="separate"/>
      </w:r>
      <w:r w:rsidR="008647EF">
        <w:rPr>
          <w:noProof/>
        </w:rPr>
        <w:t>2</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1</w:t>
      </w:r>
      <w:r w:rsidR="008647EF">
        <w:fldChar w:fldCharType="end"/>
      </w:r>
      <w:bookmarkEnd w:id="48"/>
      <w:r>
        <w:tab/>
        <w:t>Summary of engagement activities</w:t>
      </w:r>
      <w:bookmarkEnd w:id="49"/>
      <w:bookmarkEnd w:id="50"/>
    </w:p>
    <w:tbl>
      <w:tblPr>
        <w:tblStyle w:val="BlueTable"/>
        <w:tblW w:w="0" w:type="auto"/>
        <w:tblLook w:val="0620" w:firstRow="1" w:lastRow="0" w:firstColumn="0" w:lastColumn="0" w:noHBand="1" w:noVBand="1"/>
      </w:tblPr>
      <w:tblGrid>
        <w:gridCol w:w="1604"/>
        <w:gridCol w:w="1200"/>
        <w:gridCol w:w="1363"/>
        <w:gridCol w:w="5461"/>
      </w:tblGrid>
      <w:tr w:rsidR="00526BE7" w14:paraId="382E2939" w14:textId="77777777" w:rsidTr="00653321">
        <w:trPr>
          <w:cnfStyle w:val="100000000000" w:firstRow="1" w:lastRow="0" w:firstColumn="0" w:lastColumn="0" w:oddVBand="0" w:evenVBand="0" w:oddHBand="0" w:evenHBand="0" w:firstRowFirstColumn="0" w:firstRowLastColumn="0" w:lastRowFirstColumn="0" w:lastRowLastColumn="0"/>
        </w:trPr>
        <w:tc>
          <w:tcPr>
            <w:tcW w:w="0" w:type="auto"/>
          </w:tcPr>
          <w:p w14:paraId="134D0064" w14:textId="77777777" w:rsidR="00526BE7" w:rsidRDefault="00526BE7" w:rsidP="00F65818">
            <w:pPr>
              <w:pStyle w:val="TableHeading"/>
            </w:pPr>
            <w:r>
              <w:t>Activity</w:t>
            </w:r>
          </w:p>
        </w:tc>
        <w:tc>
          <w:tcPr>
            <w:tcW w:w="0" w:type="auto"/>
          </w:tcPr>
          <w:p w14:paraId="0C14B534" w14:textId="77777777" w:rsidR="00526BE7" w:rsidRDefault="00526BE7" w:rsidP="00F65818">
            <w:pPr>
              <w:pStyle w:val="TableHeading"/>
            </w:pPr>
            <w:r>
              <w:t>Timeline</w:t>
            </w:r>
          </w:p>
        </w:tc>
        <w:tc>
          <w:tcPr>
            <w:tcW w:w="0" w:type="auto"/>
          </w:tcPr>
          <w:p w14:paraId="11783A33" w14:textId="77777777" w:rsidR="00526BE7" w:rsidRDefault="00526BE7" w:rsidP="00F65818">
            <w:pPr>
              <w:pStyle w:val="TableHeading"/>
            </w:pPr>
            <w:r>
              <w:t>Participants</w:t>
            </w:r>
          </w:p>
        </w:tc>
        <w:tc>
          <w:tcPr>
            <w:tcW w:w="0" w:type="auto"/>
          </w:tcPr>
          <w:p w14:paraId="4C5D73BE" w14:textId="77777777" w:rsidR="00526BE7" w:rsidRDefault="00526BE7" w:rsidP="00F65818">
            <w:pPr>
              <w:pStyle w:val="TableHeading"/>
            </w:pPr>
            <w:r>
              <w:t>Key Finding</w:t>
            </w:r>
          </w:p>
        </w:tc>
      </w:tr>
      <w:tr w:rsidR="00526BE7" w14:paraId="6621C66C" w14:textId="77777777" w:rsidTr="00653321">
        <w:tc>
          <w:tcPr>
            <w:tcW w:w="0" w:type="auto"/>
          </w:tcPr>
          <w:p w14:paraId="5DF04A72" w14:textId="77777777" w:rsidR="00526BE7" w:rsidRDefault="00526BE7" w:rsidP="00F65818">
            <w:pPr>
              <w:pStyle w:val="TableText"/>
            </w:pPr>
            <w:r>
              <w:t>Coastal Values Survey</w:t>
            </w:r>
          </w:p>
        </w:tc>
        <w:tc>
          <w:tcPr>
            <w:tcW w:w="0" w:type="auto"/>
          </w:tcPr>
          <w:p w14:paraId="6664CFFA" w14:textId="40431834" w:rsidR="00526BE7" w:rsidRDefault="00526BE7" w:rsidP="00F65818">
            <w:pPr>
              <w:pStyle w:val="TableText"/>
            </w:pPr>
            <w:r>
              <w:t xml:space="preserve">February </w:t>
            </w:r>
            <w:r w:rsidR="00653321">
              <w:t xml:space="preserve">and April </w:t>
            </w:r>
            <w:r>
              <w:t xml:space="preserve">2022 </w:t>
            </w:r>
          </w:p>
        </w:tc>
        <w:tc>
          <w:tcPr>
            <w:tcW w:w="0" w:type="auto"/>
          </w:tcPr>
          <w:p w14:paraId="448B9E7C" w14:textId="77777777" w:rsidR="00526BE7" w:rsidRDefault="00526BE7" w:rsidP="00F65818">
            <w:pPr>
              <w:pStyle w:val="TableText"/>
            </w:pPr>
            <w:r>
              <w:t>55</w:t>
            </w:r>
          </w:p>
        </w:tc>
        <w:tc>
          <w:tcPr>
            <w:tcW w:w="0" w:type="auto"/>
          </w:tcPr>
          <w:p w14:paraId="3B4BCDC5" w14:textId="77777777" w:rsidR="00526BE7" w:rsidRDefault="00526BE7" w:rsidP="00F65818">
            <w:pPr>
              <w:pStyle w:val="TableText"/>
            </w:pPr>
            <w:r>
              <w:t>If respondents were not able to reside, visit or work at the harbour, due to the impact of coastal hazards, they noted it would have an extreme impact on their life. For most other activities, if respondents were unable to do these at the harbour it would result in a significant impact to their life, indicating their strong value in the ability to interact with Princess Royal Harbour.</w:t>
            </w:r>
          </w:p>
        </w:tc>
      </w:tr>
      <w:tr w:rsidR="00526BE7" w14:paraId="646EF3D0" w14:textId="77777777" w:rsidTr="00653321">
        <w:tc>
          <w:tcPr>
            <w:tcW w:w="0" w:type="auto"/>
          </w:tcPr>
          <w:p w14:paraId="38C5FE7E" w14:textId="77777777" w:rsidR="00526BE7" w:rsidRDefault="00526BE7" w:rsidP="00F65818">
            <w:pPr>
              <w:pStyle w:val="TableText"/>
            </w:pPr>
            <w:r>
              <w:t>Information Session and Intercept Surveying</w:t>
            </w:r>
          </w:p>
        </w:tc>
        <w:tc>
          <w:tcPr>
            <w:tcW w:w="0" w:type="auto"/>
          </w:tcPr>
          <w:p w14:paraId="1EC0F8C6" w14:textId="665AEFA1" w:rsidR="00526BE7" w:rsidRDefault="00526BE7" w:rsidP="00F65818">
            <w:pPr>
              <w:pStyle w:val="TableText"/>
            </w:pPr>
            <w:r>
              <w:t>April 2022</w:t>
            </w:r>
          </w:p>
        </w:tc>
        <w:tc>
          <w:tcPr>
            <w:tcW w:w="0" w:type="auto"/>
          </w:tcPr>
          <w:p w14:paraId="6C1484F7" w14:textId="77777777" w:rsidR="00526BE7" w:rsidRDefault="00526BE7" w:rsidP="00F65818">
            <w:pPr>
              <w:pStyle w:val="TableText"/>
            </w:pPr>
            <w:r>
              <w:t>45</w:t>
            </w:r>
          </w:p>
        </w:tc>
        <w:tc>
          <w:tcPr>
            <w:tcW w:w="0" w:type="auto"/>
          </w:tcPr>
          <w:p w14:paraId="6A3DEB0B" w14:textId="77777777" w:rsidR="00526BE7" w:rsidRDefault="00526BE7" w:rsidP="00F65818">
            <w:pPr>
              <w:pStyle w:val="TableText"/>
            </w:pPr>
            <w:r>
              <w:t>Most participants considered it very important that in 20 years, land in the coastal zone associated with the harbour will be managed to ensure land use and development does not accelerate coastal erosion or inundation risks or have a detrimental impact on the functions of public reserves.</w:t>
            </w:r>
          </w:p>
        </w:tc>
      </w:tr>
      <w:tr w:rsidR="00526BE7" w14:paraId="7B94D664" w14:textId="77777777" w:rsidTr="00653321">
        <w:tc>
          <w:tcPr>
            <w:tcW w:w="0" w:type="auto"/>
          </w:tcPr>
          <w:p w14:paraId="0F8C6535" w14:textId="77777777" w:rsidR="00526BE7" w:rsidRDefault="00526BE7" w:rsidP="00F65818">
            <w:pPr>
              <w:pStyle w:val="TableText"/>
            </w:pPr>
            <w:r>
              <w:t>Community and Business Reference Group</w:t>
            </w:r>
          </w:p>
        </w:tc>
        <w:tc>
          <w:tcPr>
            <w:tcW w:w="0" w:type="auto"/>
          </w:tcPr>
          <w:p w14:paraId="18135249" w14:textId="7D06F112" w:rsidR="00526BE7" w:rsidRDefault="00526BE7" w:rsidP="00F65818">
            <w:pPr>
              <w:pStyle w:val="TableText"/>
            </w:pPr>
            <w:r>
              <w:t>2022 -</w:t>
            </w:r>
            <w:r w:rsidR="00653321">
              <w:t xml:space="preserve"> 2024</w:t>
            </w:r>
            <w:r>
              <w:t xml:space="preserve"> </w:t>
            </w:r>
          </w:p>
        </w:tc>
        <w:tc>
          <w:tcPr>
            <w:tcW w:w="0" w:type="auto"/>
          </w:tcPr>
          <w:p w14:paraId="38487E8E" w14:textId="1A4CC648" w:rsidR="00526BE7" w:rsidRDefault="00526BE7" w:rsidP="00F65818">
            <w:pPr>
              <w:pStyle w:val="TableText"/>
            </w:pPr>
            <w:r>
              <w:t xml:space="preserve">12 </w:t>
            </w:r>
          </w:p>
        </w:tc>
        <w:tc>
          <w:tcPr>
            <w:tcW w:w="0" w:type="auto"/>
          </w:tcPr>
          <w:p w14:paraId="3EF296ED" w14:textId="75524477" w:rsidR="00526BE7" w:rsidRDefault="00924770" w:rsidP="00F65818">
            <w:pPr>
              <w:pStyle w:val="TableText"/>
            </w:pPr>
            <w:r>
              <w:t>Allowed for</w:t>
            </w:r>
            <w:r w:rsidR="00526BE7">
              <w:t xml:space="preserve"> additional </w:t>
            </w:r>
            <w:r>
              <w:t xml:space="preserve">discussion between </w:t>
            </w:r>
            <w:r w:rsidR="00526BE7">
              <w:t>business representatives</w:t>
            </w:r>
            <w:r>
              <w:t xml:space="preserve"> and community members</w:t>
            </w:r>
            <w:r w:rsidR="00526BE7">
              <w:t>.</w:t>
            </w:r>
          </w:p>
        </w:tc>
      </w:tr>
      <w:tr w:rsidR="00526BE7" w14:paraId="17407B1E" w14:textId="77777777" w:rsidTr="00653321">
        <w:tc>
          <w:tcPr>
            <w:tcW w:w="0" w:type="auto"/>
          </w:tcPr>
          <w:p w14:paraId="17F1A16F" w14:textId="77777777" w:rsidR="00526BE7" w:rsidRDefault="00526BE7" w:rsidP="00F65818">
            <w:pPr>
              <w:pStyle w:val="TableText"/>
            </w:pPr>
            <w:r>
              <w:t>Project Awareness Campaign</w:t>
            </w:r>
          </w:p>
        </w:tc>
        <w:tc>
          <w:tcPr>
            <w:tcW w:w="0" w:type="auto"/>
          </w:tcPr>
          <w:p w14:paraId="2BCAD067" w14:textId="5E8F310F" w:rsidR="00526BE7" w:rsidRDefault="00526BE7" w:rsidP="00F65818">
            <w:pPr>
              <w:pStyle w:val="TableText"/>
            </w:pPr>
            <w:r>
              <w:t>April 2022</w:t>
            </w:r>
          </w:p>
        </w:tc>
        <w:tc>
          <w:tcPr>
            <w:tcW w:w="0" w:type="auto"/>
          </w:tcPr>
          <w:p w14:paraId="1EA9D849" w14:textId="77777777" w:rsidR="00526BE7" w:rsidRDefault="00526BE7" w:rsidP="00F65818">
            <w:pPr>
              <w:pStyle w:val="TableText"/>
            </w:pPr>
            <w:r>
              <w:t>N/A</w:t>
            </w:r>
          </w:p>
        </w:tc>
        <w:tc>
          <w:tcPr>
            <w:tcW w:w="0" w:type="auto"/>
          </w:tcPr>
          <w:p w14:paraId="74DB2C54" w14:textId="77777777" w:rsidR="00526BE7" w:rsidRDefault="00526BE7" w:rsidP="00F65818">
            <w:pPr>
              <w:pStyle w:val="TableText"/>
            </w:pPr>
            <w:r>
              <w:t>Over 20 flyers and 700 letters to residents were distributed to promote the survey and continue to raise awareness of the project. The project was promoted online with webpage, e-mail campaign, social media post, e-newsletter.</w:t>
            </w:r>
          </w:p>
        </w:tc>
      </w:tr>
      <w:tr w:rsidR="00AA0127" w14:paraId="2A1A8358" w14:textId="77777777" w:rsidTr="00653321">
        <w:tc>
          <w:tcPr>
            <w:tcW w:w="0" w:type="auto"/>
          </w:tcPr>
          <w:p w14:paraId="7FB88230" w14:textId="5FC2405F" w:rsidR="00AA0127" w:rsidRDefault="00AA0127" w:rsidP="00F65818">
            <w:pPr>
              <w:pStyle w:val="TableText"/>
            </w:pPr>
            <w:r>
              <w:t>Community Scenarios Workshops</w:t>
            </w:r>
          </w:p>
        </w:tc>
        <w:tc>
          <w:tcPr>
            <w:tcW w:w="0" w:type="auto"/>
          </w:tcPr>
          <w:p w14:paraId="64676CFD" w14:textId="574A4F6E" w:rsidR="00AA0127" w:rsidRDefault="00653321" w:rsidP="00F65818">
            <w:pPr>
              <w:pStyle w:val="TableText"/>
            </w:pPr>
            <w:r>
              <w:t>May 2023</w:t>
            </w:r>
          </w:p>
        </w:tc>
        <w:tc>
          <w:tcPr>
            <w:tcW w:w="0" w:type="auto"/>
          </w:tcPr>
          <w:p w14:paraId="6ECD01FF" w14:textId="0BF44A3D" w:rsidR="00AA0127" w:rsidRDefault="00653321" w:rsidP="00F65818">
            <w:pPr>
              <w:pStyle w:val="TableText"/>
            </w:pPr>
            <w:r>
              <w:t>36 attendees</w:t>
            </w:r>
          </w:p>
        </w:tc>
        <w:tc>
          <w:tcPr>
            <w:tcW w:w="0" w:type="auto"/>
          </w:tcPr>
          <w:p w14:paraId="49D2768B" w14:textId="308A4680" w:rsidR="00AA0127" w:rsidRDefault="00653321" w:rsidP="00653321">
            <w:pPr>
              <w:pStyle w:val="TableText"/>
            </w:pPr>
            <w:r>
              <w:t xml:space="preserve">Two workshops </w:t>
            </w:r>
            <w:r w:rsidR="00AA0127">
              <w:t>to inform the community of the project and projected impact from coastal processes, as well as gather feedback about asset prioritisation</w:t>
            </w:r>
            <w:r>
              <w:t>,</w:t>
            </w:r>
            <w:r w:rsidR="00AA0127">
              <w:t xml:space="preserve"> the perceived consequences of coastal hazards</w:t>
            </w:r>
            <w:r>
              <w:t xml:space="preserve"> </w:t>
            </w:r>
            <w:r w:rsidR="00AA0127">
              <w:t>and the preferred adaptation strategies and management options along the coastline.</w:t>
            </w:r>
          </w:p>
        </w:tc>
      </w:tr>
      <w:tr w:rsidR="00AA0127" w:rsidRPr="00653321" w14:paraId="1DE5CCF6" w14:textId="77777777" w:rsidTr="00653321">
        <w:tc>
          <w:tcPr>
            <w:tcW w:w="0" w:type="auto"/>
          </w:tcPr>
          <w:p w14:paraId="175C4779" w14:textId="6E588DC6" w:rsidR="00AA0127" w:rsidRPr="00653321" w:rsidRDefault="00AA0127" w:rsidP="00AA0127">
            <w:pPr>
              <w:pStyle w:val="TableText"/>
            </w:pPr>
            <w:r w:rsidRPr="00653321">
              <w:t>Draft CHRMAP</w:t>
            </w:r>
          </w:p>
        </w:tc>
        <w:tc>
          <w:tcPr>
            <w:tcW w:w="0" w:type="auto"/>
          </w:tcPr>
          <w:p w14:paraId="4A2EA8F9" w14:textId="348F1878" w:rsidR="00AA0127" w:rsidRPr="00653321" w:rsidRDefault="00653321" w:rsidP="00AA0127">
            <w:pPr>
              <w:pStyle w:val="TableText"/>
            </w:pPr>
            <w:r>
              <w:t>2024</w:t>
            </w:r>
          </w:p>
        </w:tc>
        <w:tc>
          <w:tcPr>
            <w:tcW w:w="0" w:type="auto"/>
          </w:tcPr>
          <w:p w14:paraId="7B154540" w14:textId="3C6455DC" w:rsidR="00AA0127" w:rsidRPr="00653321" w:rsidRDefault="00653321" w:rsidP="00AA0127">
            <w:pPr>
              <w:pStyle w:val="TableText"/>
            </w:pPr>
            <w:r>
              <w:t>N/A</w:t>
            </w:r>
          </w:p>
        </w:tc>
        <w:tc>
          <w:tcPr>
            <w:tcW w:w="0" w:type="auto"/>
          </w:tcPr>
          <w:p w14:paraId="19503D67" w14:textId="77777777" w:rsidR="00AA0127" w:rsidRPr="00653321" w:rsidRDefault="00AA0127" w:rsidP="00AA0127">
            <w:pPr>
              <w:pStyle w:val="TableText"/>
            </w:pPr>
            <w:r w:rsidRPr="00653321">
              <w:t>Draft CHRMAP will be placed on the CHRMAP website for public comment.</w:t>
            </w:r>
          </w:p>
          <w:p w14:paraId="7A0E9E8F" w14:textId="36506991" w:rsidR="00AA0127" w:rsidRPr="00653321" w:rsidRDefault="00AA0127" w:rsidP="00AA0127">
            <w:pPr>
              <w:pStyle w:val="TableText"/>
            </w:pPr>
            <w:r w:rsidRPr="00653321">
              <w:t>The document will be emailed / mailed to stakeholders identified as not having access to the CHRMAP website.</w:t>
            </w:r>
          </w:p>
        </w:tc>
      </w:tr>
    </w:tbl>
    <w:p w14:paraId="002C9F93" w14:textId="77777777" w:rsidR="00AF34DF" w:rsidRPr="00AF34DF" w:rsidRDefault="00AF34DF" w:rsidP="00AF34DF">
      <w:pPr>
        <w:pStyle w:val="BodyText"/>
      </w:pPr>
    </w:p>
    <w:p w14:paraId="0E8A00CC" w14:textId="4A6490B6" w:rsidR="001500B6" w:rsidRPr="00792B38" w:rsidRDefault="001E51D4" w:rsidP="001500B6">
      <w:pPr>
        <w:pStyle w:val="Heading1"/>
      </w:pPr>
      <w:bookmarkStart w:id="51" w:name="_Toc164420861"/>
      <w:r>
        <w:lastRenderedPageBreak/>
        <w:t>Risk Identification</w:t>
      </w:r>
      <w:bookmarkEnd w:id="51"/>
    </w:p>
    <w:p w14:paraId="362E9541" w14:textId="79506BE7" w:rsidR="00AF34DF" w:rsidRDefault="00AF34DF" w:rsidP="00AF34DF">
      <w:pPr>
        <w:pStyle w:val="BodyText"/>
      </w:pPr>
      <w:r>
        <w:t xml:space="preserve">A </w:t>
      </w:r>
      <w:r w:rsidR="001E51D4">
        <w:t>Risk Identification</w:t>
      </w:r>
      <w:r w:rsidRPr="00A37448">
        <w:t xml:space="preserve"> Chapter </w:t>
      </w:r>
      <w:r w:rsidRPr="00614E16">
        <w:t>Report (</w:t>
      </w:r>
      <w:r w:rsidR="001E51D4">
        <w:fldChar w:fldCharType="begin"/>
      </w:r>
      <w:r w:rsidR="001E51D4">
        <w:instrText xml:space="preserve"> REF _Ref164239313 \n \h </w:instrText>
      </w:r>
      <w:r w:rsidR="001E51D4">
        <w:fldChar w:fldCharType="separate"/>
      </w:r>
      <w:r w:rsidR="001E51D4">
        <w:t>Appendix C</w:t>
      </w:r>
      <w:r w:rsidR="001E51D4">
        <w:fldChar w:fldCharType="end"/>
      </w:r>
      <w:r w:rsidRPr="00614E16">
        <w:t>)</w:t>
      </w:r>
      <w:r>
        <w:t xml:space="preserve"> was prepared to identify the coastal hazards in the study area that need to be considered in the CHRMAP. Hazard maps </w:t>
      </w:r>
      <w:r w:rsidR="00F3536D">
        <w:t>we</w:t>
      </w:r>
      <w:r>
        <w:t>re produced defining the erosion and inundation extents for present day, 20</w:t>
      </w:r>
      <w:r w:rsidR="00F3536D">
        <w:t>47</w:t>
      </w:r>
      <w:r>
        <w:t>, 20</w:t>
      </w:r>
      <w:r w:rsidR="00F3536D">
        <w:t>72 and</w:t>
      </w:r>
      <w:r>
        <w:t xml:space="preserve"> 212</w:t>
      </w:r>
      <w:r w:rsidR="00F3536D">
        <w:t>2</w:t>
      </w:r>
      <w:r>
        <w:t>.</w:t>
      </w:r>
    </w:p>
    <w:p w14:paraId="024D4B0A" w14:textId="77777777" w:rsidR="00676479" w:rsidRDefault="00676479" w:rsidP="00676479">
      <w:pPr>
        <w:pStyle w:val="BodyText"/>
      </w:pPr>
      <w:r>
        <w:t xml:space="preserve">A key policy objective of SPP2.6 is the provision of a coastal foreshore reserve. The coastal foreshore reserve is essentially a ‘space’ between the ocean and private land. It should accommodate a range of functions and values such as geomorphological integrity, biodiversity, heritage, public ownership, and access. The component of the coastal foreshore reserve to allow for coastal processes should be sufficient to mitigate the risks of coastal hazards by allowing for landform stability, natural variability, and climate change. The coastal foreshore reserve is a critical input into the coastal hazard risk management and adaption planning framework outlined in SPP 2.6. The assessment considers allowances for coastal erosion and storm surge inundation in parallel. </w:t>
      </w:r>
    </w:p>
    <w:p w14:paraId="3420B11C" w14:textId="5EA3C51D" w:rsidR="00AF34DF" w:rsidRDefault="00341937" w:rsidP="00AF34DF">
      <w:pPr>
        <w:pStyle w:val="BodyText"/>
      </w:pPr>
      <w:r>
        <w:t xml:space="preserve">The PRH coastline features a mixture of sandy, rocky, and artificially hardened shorelines, with substantial intertidal areas and shallow seagrass assemblages. It is a reasonably </w:t>
      </w:r>
      <w:r w:rsidR="00AF34DF" w:rsidRPr="00491743">
        <w:t>complex shoreline with various types of coastal hazards present in this region.</w:t>
      </w:r>
      <w:r w:rsidR="00AF34DF">
        <w:t xml:space="preserve"> </w:t>
      </w:r>
      <w:r w:rsidR="00AF34DF" w:rsidRPr="00A46F74">
        <w:rPr>
          <w:rStyle w:val="Emphasis"/>
        </w:rPr>
        <w:t xml:space="preserve">It is acknowledged that the hazard identification component of the present study </w:t>
      </w:r>
      <w:r w:rsidR="00AF34DF">
        <w:rPr>
          <w:rStyle w:val="Emphasis"/>
        </w:rPr>
        <w:t>w</w:t>
      </w:r>
      <w:r w:rsidR="00AF34DF" w:rsidRPr="00A46F74">
        <w:rPr>
          <w:rStyle w:val="Emphasis"/>
        </w:rPr>
        <w:t>as undertaken to provide a broad understanding of exposure tha</w:t>
      </w:r>
      <w:r w:rsidR="00AF34DF">
        <w:rPr>
          <w:rStyle w:val="Emphasis"/>
        </w:rPr>
        <w:t>t can support government planning at a regional level - and will be superseded once site-specific studies become available</w:t>
      </w:r>
      <w:r w:rsidR="00AF34DF" w:rsidRPr="006869F3">
        <w:t>.</w:t>
      </w:r>
      <w:r w:rsidR="00AF34DF">
        <w:t xml:space="preserve"> Results derived from this study should not be over-interpreted at a micro-scale due to the assumptions applied and the limitations in model resolution. </w:t>
      </w:r>
      <w:r w:rsidR="00AF34DF" w:rsidRPr="00BC7974">
        <w:t>More detailed risk assessment</w:t>
      </w:r>
      <w:r w:rsidR="00AF34DF">
        <w:t>s</w:t>
      </w:r>
      <w:r w:rsidR="00AF34DF" w:rsidRPr="00BC7974">
        <w:t xml:space="preserve"> and </w:t>
      </w:r>
      <w:r w:rsidR="00AF34DF">
        <w:t>analysis</w:t>
      </w:r>
      <w:r w:rsidR="00AF34DF" w:rsidRPr="00BC7974">
        <w:t xml:space="preserve"> </w:t>
      </w:r>
      <w:r w:rsidR="00AF34DF">
        <w:t>may</w:t>
      </w:r>
      <w:r w:rsidR="00AF34DF" w:rsidRPr="00BC7974">
        <w:t xml:space="preserve"> be required for the development of </w:t>
      </w:r>
      <w:r w:rsidR="00AF34DF">
        <w:t>detailed engineering measures</w:t>
      </w:r>
      <w:r w:rsidR="00AF34DF" w:rsidRPr="00BC7974">
        <w:t xml:space="preserve"> for specific sites</w:t>
      </w:r>
      <w:r w:rsidR="00AF34DF">
        <w:t xml:space="preserve">. </w:t>
      </w:r>
      <w:r w:rsidR="00AF34DF" w:rsidRPr="00604AE2">
        <w:t xml:space="preserve">No geophysical or geotechnical assessments have been undertaken across the study to date. </w:t>
      </w:r>
      <w:r w:rsidR="00AF34DF" w:rsidRPr="009745CB">
        <w:t xml:space="preserve">Erosion response across the study area may </w:t>
      </w:r>
      <w:r w:rsidR="00AF34DF" w:rsidRPr="00855955">
        <w:t xml:space="preserve">differ </w:t>
      </w:r>
      <w:r w:rsidR="00F92C41" w:rsidRPr="00855955">
        <w:t>to</w:t>
      </w:r>
      <w:r w:rsidR="00AF34DF" w:rsidRPr="00855955">
        <w:t xml:space="preserve"> the predictions of t</w:t>
      </w:r>
      <w:r w:rsidR="00AF34DF" w:rsidRPr="00E2165C">
        <w:t>his study</w:t>
      </w:r>
      <w:r w:rsidR="00F92C41">
        <w:t xml:space="preserve">. </w:t>
      </w:r>
      <w:r w:rsidR="00AF34DF" w:rsidRPr="00604AE2">
        <w:t xml:space="preserve">Further </w:t>
      </w:r>
      <w:r w:rsidR="00F3536D">
        <w:t xml:space="preserve">investigations (including </w:t>
      </w:r>
      <w:r w:rsidR="00AF34DF" w:rsidRPr="00604AE2">
        <w:t>geotechnical assessment</w:t>
      </w:r>
      <w:r w:rsidR="00F3536D">
        <w:t>)</w:t>
      </w:r>
      <w:r w:rsidR="00AF34DF" w:rsidRPr="00604AE2">
        <w:t xml:space="preserve"> </w:t>
      </w:r>
      <w:r w:rsidR="00F3536D">
        <w:t xml:space="preserve">are a </w:t>
      </w:r>
      <w:r w:rsidR="00AF34DF" w:rsidRPr="00604AE2">
        <w:t>recommendation of this CHRMAP</w:t>
      </w:r>
      <w:r w:rsidR="00AF34DF">
        <w:t>.</w:t>
      </w:r>
    </w:p>
    <w:p w14:paraId="6537587C" w14:textId="77777777" w:rsidR="00AF34DF" w:rsidRDefault="00AF34DF" w:rsidP="00AF34DF">
      <w:pPr>
        <w:pStyle w:val="Heading2"/>
        <w:numPr>
          <w:ilvl w:val="1"/>
          <w:numId w:val="14"/>
        </w:numPr>
      </w:pPr>
      <w:bookmarkStart w:id="52" w:name="_Toc152578208"/>
      <w:bookmarkStart w:id="53" w:name="_Toc164420862"/>
      <w:r>
        <w:t>Erosion Hazard Assessment Method</w:t>
      </w:r>
      <w:bookmarkEnd w:id="52"/>
      <w:bookmarkEnd w:id="53"/>
    </w:p>
    <w:p w14:paraId="174A7AAB" w14:textId="77777777" w:rsidR="00AF34DF" w:rsidRDefault="00AF34DF" w:rsidP="00AF34DF">
      <w:pPr>
        <w:pStyle w:val="Heading3"/>
        <w:numPr>
          <w:ilvl w:val="2"/>
          <w:numId w:val="14"/>
        </w:numPr>
      </w:pPr>
      <w:bookmarkStart w:id="54" w:name="_Toc152578209"/>
      <w:bookmarkStart w:id="55" w:name="_Toc164420863"/>
      <w:r>
        <w:t>Summary</w:t>
      </w:r>
      <w:bookmarkEnd w:id="54"/>
      <w:bookmarkEnd w:id="55"/>
    </w:p>
    <w:p w14:paraId="42CA3FCE" w14:textId="77777777" w:rsidR="00F3536D" w:rsidRDefault="00F3536D" w:rsidP="00F3536D">
      <w:pPr>
        <w:pStyle w:val="BodyText"/>
      </w:pPr>
      <w:r>
        <w:t>A desktop review of available information was undertaken, including:</w:t>
      </w:r>
    </w:p>
    <w:p w14:paraId="63FE9D52" w14:textId="77777777" w:rsidR="00F3536D" w:rsidRDefault="00F3536D" w:rsidP="00B32A91">
      <w:pPr>
        <w:pStyle w:val="ListBullet0"/>
        <w:numPr>
          <w:ilvl w:val="0"/>
          <w:numId w:val="17"/>
        </w:numPr>
      </w:pPr>
      <w:r>
        <w:t>Metocean conditions</w:t>
      </w:r>
    </w:p>
    <w:p w14:paraId="39E64AAD" w14:textId="77777777" w:rsidR="00F3536D" w:rsidRDefault="00F3536D" w:rsidP="00B32A91">
      <w:pPr>
        <w:pStyle w:val="ListBullet0"/>
        <w:numPr>
          <w:ilvl w:val="0"/>
          <w:numId w:val="17"/>
        </w:numPr>
      </w:pPr>
      <w:r>
        <w:t>Coastal processes</w:t>
      </w:r>
    </w:p>
    <w:p w14:paraId="52CB9A4D" w14:textId="77777777" w:rsidR="00F3536D" w:rsidRDefault="00F3536D" w:rsidP="00B32A91">
      <w:pPr>
        <w:pStyle w:val="ListBullet0"/>
        <w:numPr>
          <w:ilvl w:val="0"/>
          <w:numId w:val="17"/>
        </w:numPr>
      </w:pPr>
      <w:r>
        <w:t>Existing coastal monitoring and management</w:t>
      </w:r>
    </w:p>
    <w:p w14:paraId="67EB5270" w14:textId="77777777" w:rsidR="00F3536D" w:rsidRDefault="00F3536D" w:rsidP="00B32A91">
      <w:pPr>
        <w:pStyle w:val="ListBullet0"/>
        <w:numPr>
          <w:ilvl w:val="0"/>
          <w:numId w:val="17"/>
        </w:numPr>
      </w:pPr>
      <w:r>
        <w:t>Existing coastal hazard information</w:t>
      </w:r>
    </w:p>
    <w:p w14:paraId="49C6840E" w14:textId="77777777" w:rsidR="00F3536D" w:rsidRDefault="00F3536D" w:rsidP="00B32A91">
      <w:pPr>
        <w:pStyle w:val="ListBullet0"/>
        <w:numPr>
          <w:ilvl w:val="0"/>
          <w:numId w:val="17"/>
        </w:numPr>
      </w:pPr>
      <w:bookmarkStart w:id="56" w:name="_Toc513647147"/>
      <w:bookmarkStart w:id="57" w:name="_Toc513795854"/>
      <w:bookmarkStart w:id="58" w:name="_Toc519155044"/>
      <w:bookmarkStart w:id="59" w:name="_Toc70500707"/>
      <w:r>
        <w:t>The coastal hazard identification approach has been developed based on the following policies and guidelines:</w:t>
      </w:r>
    </w:p>
    <w:p w14:paraId="0019A0C8" w14:textId="77777777" w:rsidR="00676479" w:rsidRPr="00676479" w:rsidRDefault="00F3536D" w:rsidP="00B32A91">
      <w:pPr>
        <w:pStyle w:val="ListBullet0"/>
        <w:numPr>
          <w:ilvl w:val="0"/>
          <w:numId w:val="17"/>
        </w:numPr>
      </w:pPr>
      <w:r>
        <w:t>State Planning Policy 2.6 State Coastal Planning Policy (SPP2.6)</w:t>
      </w:r>
      <w:bookmarkEnd w:id="56"/>
      <w:bookmarkEnd w:id="57"/>
      <w:bookmarkEnd w:id="58"/>
      <w:bookmarkEnd w:id="59"/>
      <w:r w:rsidR="00676479">
        <w:t xml:space="preserve"> – which </w:t>
      </w:r>
      <w:r w:rsidR="00676479" w:rsidRPr="00676479">
        <w:t>provides a clear method for the evaluation of hazards in tidal areas.</w:t>
      </w:r>
    </w:p>
    <w:p w14:paraId="1ED64F8A" w14:textId="77777777" w:rsidR="00F3536D" w:rsidRDefault="00F3536D" w:rsidP="00B32A91">
      <w:pPr>
        <w:pStyle w:val="ListBullet0"/>
        <w:numPr>
          <w:ilvl w:val="0"/>
          <w:numId w:val="17"/>
        </w:numPr>
      </w:pPr>
      <w:r>
        <w:t>Coastal Hazard Risk Management and Adaptation Planning Guidelines (CHRMAP Guidelines)</w:t>
      </w:r>
    </w:p>
    <w:p w14:paraId="5CCDD781" w14:textId="77777777" w:rsidR="00AF34DF" w:rsidRDefault="00AF34DF" w:rsidP="00AF34DF">
      <w:pPr>
        <w:pStyle w:val="Heading3"/>
        <w:numPr>
          <w:ilvl w:val="2"/>
          <w:numId w:val="14"/>
        </w:numPr>
      </w:pPr>
      <w:bookmarkStart w:id="60" w:name="_Toc152578210"/>
      <w:bookmarkStart w:id="61" w:name="_Toc164420864"/>
      <w:r>
        <w:t>Method</w:t>
      </w:r>
      <w:bookmarkEnd w:id="60"/>
      <w:bookmarkEnd w:id="61"/>
    </w:p>
    <w:p w14:paraId="70A7E086" w14:textId="5B021D1C" w:rsidR="00AF34DF" w:rsidRPr="00491743" w:rsidRDefault="00F3536D" w:rsidP="00AF34DF">
      <w:pPr>
        <w:pStyle w:val="BodyText"/>
      </w:pPr>
      <w:r>
        <w:t>SPP2.6</w:t>
      </w:r>
      <w:r w:rsidR="00AF34DF" w:rsidRPr="00491743">
        <w:t xml:space="preserve"> s</w:t>
      </w:r>
      <w:r w:rsidR="00AF34DF">
        <w:t>tipulates</w:t>
      </w:r>
      <w:r w:rsidR="00AF34DF" w:rsidRPr="00491743">
        <w:t xml:space="preserve"> the following components be considered when evaluating the coastal erosion risk:</w:t>
      </w:r>
    </w:p>
    <w:p w14:paraId="735D66B8" w14:textId="77777777" w:rsidR="00AF34DF" w:rsidRPr="00491743" w:rsidRDefault="00AF34DF" w:rsidP="00113421">
      <w:pPr>
        <w:pStyle w:val="ListBullet0"/>
        <w:numPr>
          <w:ilvl w:val="0"/>
          <w:numId w:val="17"/>
        </w:numPr>
      </w:pPr>
      <w:r w:rsidRPr="00491743">
        <w:t>Storm erosion in response to storm waves and loss of beach material.</w:t>
      </w:r>
    </w:p>
    <w:p w14:paraId="613A8C5D" w14:textId="77777777" w:rsidR="00AF34DF" w:rsidRPr="00491743" w:rsidRDefault="00AF34DF" w:rsidP="00113421">
      <w:pPr>
        <w:pStyle w:val="ListBullet0"/>
        <w:numPr>
          <w:ilvl w:val="0"/>
          <w:numId w:val="17"/>
        </w:numPr>
      </w:pPr>
      <w:r w:rsidRPr="00491743">
        <w:t>Historic shoreline movement that highlights the chronic/long</w:t>
      </w:r>
      <w:r>
        <w:t>-</w:t>
      </w:r>
      <w:r w:rsidRPr="00491743">
        <w:t xml:space="preserve">term evolution of the coast. This could be contributed by littoral drift processes, larger scale morphological movements, long-term water level/wave </w:t>
      </w:r>
      <w:r w:rsidRPr="00491743">
        <w:lastRenderedPageBreak/>
        <w:t>dynamic variations (~18.</w:t>
      </w:r>
      <w:r>
        <w:t>6 yrs.</w:t>
      </w:r>
      <w:r w:rsidRPr="00491743">
        <w:t xml:space="preserve"> tidal cycle, interannual climate oscillations e.g., La Niña effects, Pacific Ocean decadal Oscillation etc.) and climate change impacts (SLR, more intense storms and rainfalls etc.).</w:t>
      </w:r>
    </w:p>
    <w:p w14:paraId="1E27BECD" w14:textId="77777777" w:rsidR="00AF34DF" w:rsidRPr="00491743" w:rsidRDefault="00AF34DF" w:rsidP="00113421">
      <w:pPr>
        <w:pStyle w:val="ListBullet0"/>
        <w:numPr>
          <w:ilvl w:val="0"/>
          <w:numId w:val="17"/>
        </w:numPr>
      </w:pPr>
      <w:r w:rsidRPr="00491743">
        <w:t xml:space="preserve">Direct response to future sea level rise. </w:t>
      </w:r>
    </w:p>
    <w:p w14:paraId="6EECB8F8" w14:textId="3C37345A" w:rsidR="00AF34DF" w:rsidRDefault="00AF34DF" w:rsidP="00D146B7">
      <w:pPr>
        <w:pStyle w:val="BodyText"/>
      </w:pPr>
      <w:r w:rsidRPr="00D146B7">
        <w:t>SPP2</w:t>
      </w:r>
      <w:r w:rsidRPr="00D146B7">
        <w:rPr>
          <w:rFonts w:eastAsiaTheme="minorEastAsia"/>
        </w:rPr>
        <w:t xml:space="preserve">.6 indicates the methods for determining the allowance for erosion for a sandy coast are derived principally for open coastlines. </w:t>
      </w:r>
      <w:r w:rsidR="00F3536D" w:rsidRPr="00D146B7">
        <w:rPr>
          <w:rFonts w:eastAsiaTheme="minorEastAsia"/>
        </w:rPr>
        <w:t>The s</w:t>
      </w:r>
      <w:r w:rsidR="00F3536D" w:rsidRPr="00D146B7">
        <w:t>tandard method from SPP2.6 was used which considers erosion allowances relative to the present Horizontal Shoreline Datum</w:t>
      </w:r>
      <w:r w:rsidR="00D146B7" w:rsidRPr="00D146B7">
        <w:t xml:space="preserve"> </w:t>
      </w:r>
      <w:r w:rsidRPr="00D146B7">
        <w:t>(HSD)</w:t>
      </w:r>
      <w:r w:rsidR="00D146B7" w:rsidRPr="00D146B7">
        <w:t>. The HSD</w:t>
      </w:r>
      <w:r w:rsidRPr="00D146B7">
        <w:t xml:space="preserve"> is defined as the active limit of the shoreline under storm activity. It is the line from which the erosion hazard allowance </w:t>
      </w:r>
      <w:r w:rsidR="00D146B7" w:rsidRPr="00D146B7">
        <w:t xml:space="preserve">is </w:t>
      </w:r>
      <w:r w:rsidRPr="00D146B7">
        <w:t>applied from. In this assessment HSD has been determined by</w:t>
      </w:r>
      <w:r w:rsidR="00D146B7" w:rsidRPr="00D146B7">
        <w:t xml:space="preserve"> the e</w:t>
      </w:r>
      <w:r w:rsidRPr="00D146B7">
        <w:t>levation of the 100-year ARI Peak Steady Water Level</w:t>
      </w:r>
      <w:r w:rsidR="00D146B7">
        <w:t xml:space="preserve"> at individual locations around the Harbor</w:t>
      </w:r>
      <w:r w:rsidR="00D146B7" w:rsidRPr="00D146B7">
        <w:t>.</w:t>
      </w:r>
      <w:r w:rsidRPr="00D146B7">
        <w:t xml:space="preserve"> The</w:t>
      </w:r>
      <w:r>
        <w:t xml:space="preserve"> HSD line is included in the </w:t>
      </w:r>
      <w:r w:rsidRPr="00983148">
        <w:t>erosion hazard maps</w:t>
      </w:r>
      <w:r w:rsidR="00983148">
        <w:t xml:space="preserve"> (</w:t>
      </w:r>
      <w:r w:rsidR="00983148">
        <w:fldChar w:fldCharType="begin"/>
      </w:r>
      <w:r w:rsidR="00983148">
        <w:instrText xml:space="preserve"> REF _Ref164170096 \h </w:instrText>
      </w:r>
      <w:r w:rsidR="00983148">
        <w:fldChar w:fldCharType="separate"/>
      </w:r>
      <w:r w:rsidR="00983148">
        <w:t>Erosion and Inundation Maps</w:t>
      </w:r>
      <w:r w:rsidR="00983148">
        <w:fldChar w:fldCharType="end"/>
      </w:r>
      <w:r w:rsidR="00983148">
        <w:t>)</w:t>
      </w:r>
      <w:r>
        <w:t>.</w:t>
      </w:r>
    </w:p>
    <w:p w14:paraId="7B23A2A5" w14:textId="77777777" w:rsidR="00F3536D" w:rsidRPr="00F9293A" w:rsidRDefault="00F3536D" w:rsidP="00F3536D">
      <w:pPr>
        <w:pStyle w:val="BodyText"/>
      </w:pPr>
      <w:r>
        <w:t>T</w:t>
      </w:r>
      <w:r w:rsidRPr="00F9293A">
        <w:t>he erosion hazard</w:t>
      </w:r>
      <w:r>
        <w:t xml:space="preserve"> study</w:t>
      </w:r>
      <w:r w:rsidRPr="00F9293A">
        <w:t xml:space="preserve"> </w:t>
      </w:r>
      <w:r>
        <w:t>wa</w:t>
      </w:r>
      <w:r w:rsidRPr="00F9293A">
        <w:t xml:space="preserve">s </w:t>
      </w:r>
      <w:r>
        <w:t>carried out</w:t>
      </w:r>
      <w:r w:rsidRPr="00F9293A">
        <w:t xml:space="preserve"> by</w:t>
      </w:r>
      <w:r>
        <w:t xml:space="preserve"> the</w:t>
      </w:r>
      <w:r w:rsidRPr="00F9293A">
        <w:t xml:space="preserve"> following steps:</w:t>
      </w:r>
    </w:p>
    <w:p w14:paraId="6CB86E29" w14:textId="7BFF2D04" w:rsidR="00D146B7" w:rsidRDefault="00D146B7" w:rsidP="00B32A91">
      <w:pPr>
        <w:pStyle w:val="ListBullet0"/>
        <w:numPr>
          <w:ilvl w:val="0"/>
          <w:numId w:val="17"/>
        </w:numPr>
      </w:pPr>
      <w:r>
        <w:t xml:space="preserve">Classification of the coast as Rocky or Mixed Sand and Rock or Sandy coast. </w:t>
      </w:r>
      <w:r w:rsidRPr="00D146B7">
        <w:t>Portions of the PRH shoreline are comprised of naturally occurring granite and have been classified as ‘hard rock’. Negligible shoreline change is expected over the 100-year planning timeframe for hard rock coasts.</w:t>
      </w:r>
    </w:p>
    <w:p w14:paraId="4914638C" w14:textId="6F60B97A" w:rsidR="00F3536D" w:rsidRPr="00F3536D" w:rsidRDefault="00F3536D" w:rsidP="00B32A91">
      <w:pPr>
        <w:pStyle w:val="ListBullet0"/>
        <w:numPr>
          <w:ilvl w:val="0"/>
          <w:numId w:val="17"/>
        </w:numPr>
      </w:pPr>
      <w:r w:rsidRPr="00F3536D">
        <w:t>HSD is defined by topographic contours, ground-truthed by vegetation lines.</w:t>
      </w:r>
    </w:p>
    <w:p w14:paraId="21238E3A" w14:textId="10A76A8C" w:rsidR="00F3536D" w:rsidRPr="00F9293A" w:rsidRDefault="00F3536D" w:rsidP="00B32A91">
      <w:pPr>
        <w:pStyle w:val="ListBullet0"/>
        <w:numPr>
          <w:ilvl w:val="0"/>
          <w:numId w:val="17"/>
        </w:numPr>
      </w:pPr>
      <w:r w:rsidRPr="00F9293A">
        <w:t xml:space="preserve">Simulate storm erosion for </w:t>
      </w:r>
      <w:r>
        <w:t>the</w:t>
      </w:r>
      <w:r w:rsidRPr="00F9293A">
        <w:t xml:space="preserve"> </w:t>
      </w:r>
      <w:r w:rsidR="001E6399" w:rsidRPr="00F9293A">
        <w:t>100</w:t>
      </w:r>
      <w:r w:rsidR="001E6399">
        <w:t>-year</w:t>
      </w:r>
      <w:r w:rsidRPr="00F9293A">
        <w:t xml:space="preserve"> ARI</w:t>
      </w:r>
      <w:r>
        <w:t xml:space="preserve"> storm (S1)</w:t>
      </w:r>
      <w:r w:rsidRPr="00F9293A">
        <w:t>.</w:t>
      </w:r>
      <w:r>
        <w:t xml:space="preserve"> </w:t>
      </w:r>
    </w:p>
    <w:p w14:paraId="52B92FE4" w14:textId="045792C7" w:rsidR="00F3536D" w:rsidRDefault="00F3536D" w:rsidP="00B32A91">
      <w:pPr>
        <w:pStyle w:val="ListBullet0"/>
        <w:numPr>
          <w:ilvl w:val="0"/>
          <w:numId w:val="17"/>
        </w:numPr>
      </w:pPr>
      <w:r w:rsidRPr="00F3536D">
        <w:t xml:space="preserve">Allowance for the current risk of storm erosion (S1) estimated by SBEACH </w:t>
      </w:r>
      <w:r>
        <w:t xml:space="preserve">numerical </w:t>
      </w:r>
      <w:r w:rsidRPr="00F3536D">
        <w:t>model</w:t>
      </w:r>
      <w:r>
        <w:t>.</w:t>
      </w:r>
      <w:r w:rsidRPr="00F3536D">
        <w:t xml:space="preserve"> </w:t>
      </w:r>
    </w:p>
    <w:p w14:paraId="6C140B54" w14:textId="7BB9F7F1" w:rsidR="00F3536D" w:rsidRDefault="00F3536D" w:rsidP="00B32A91">
      <w:pPr>
        <w:pStyle w:val="ListBullet0"/>
        <w:numPr>
          <w:ilvl w:val="0"/>
          <w:numId w:val="17"/>
        </w:numPr>
      </w:pPr>
      <w:r w:rsidRPr="00F9293A">
        <w:t xml:space="preserve">Evaluate </w:t>
      </w:r>
      <w:r>
        <w:t xml:space="preserve">historic </w:t>
      </w:r>
      <w:r w:rsidRPr="00F9293A">
        <w:t xml:space="preserve">shoreline movement trends </w:t>
      </w:r>
      <w:r>
        <w:t>based on historic vegetation lines (S2).</w:t>
      </w:r>
    </w:p>
    <w:p w14:paraId="58038190" w14:textId="77777777" w:rsidR="00F3536D" w:rsidRDefault="00F3536D" w:rsidP="00B32A91">
      <w:pPr>
        <w:pStyle w:val="ListBullet0"/>
        <w:numPr>
          <w:ilvl w:val="0"/>
          <w:numId w:val="17"/>
        </w:numPr>
      </w:pPr>
      <w:r w:rsidRPr="00F9293A">
        <w:t>Evaluate</w:t>
      </w:r>
      <w:r>
        <w:t xml:space="preserve"> </w:t>
      </w:r>
      <w:r w:rsidRPr="00F9293A">
        <w:t xml:space="preserve">sea level rise impacts </w:t>
      </w:r>
      <w:r>
        <w:t>for present day, 2047, 2072 and 2122 (S3).</w:t>
      </w:r>
    </w:p>
    <w:p w14:paraId="336AE7E9" w14:textId="3544897F" w:rsidR="00676479" w:rsidRPr="00676479" w:rsidRDefault="00F3536D" w:rsidP="00B32A91">
      <w:pPr>
        <w:pStyle w:val="ListBullet0"/>
        <w:numPr>
          <w:ilvl w:val="0"/>
          <w:numId w:val="17"/>
        </w:numPr>
      </w:pPr>
      <w:r>
        <w:t>Apply corrections for controlled shoreline segments.</w:t>
      </w:r>
      <w:r w:rsidR="00676479">
        <w:t xml:space="preserve"> </w:t>
      </w:r>
      <w:r w:rsidR="00676479" w:rsidRPr="00676479">
        <w:t>Where shoreline controls such as seawalls and breakwaters exist, these structures have been incorporated in the erosion hazard extents for the anticipated design life of the structures.</w:t>
      </w:r>
      <w:r w:rsidR="00EC4E4D">
        <w:t xml:space="preserve"> </w:t>
      </w:r>
    </w:p>
    <w:p w14:paraId="6D0A0505" w14:textId="60F9D5F2" w:rsidR="00F3536D" w:rsidRPr="00F3536D" w:rsidRDefault="00B71FE9" w:rsidP="00B32A91">
      <w:pPr>
        <w:pStyle w:val="ListBullet0"/>
        <w:numPr>
          <w:ilvl w:val="0"/>
          <w:numId w:val="17"/>
        </w:numPr>
      </w:pPr>
      <w:r>
        <w:t>Calculation of the u</w:t>
      </w:r>
      <w:r w:rsidR="00F3536D" w:rsidRPr="00F3536D">
        <w:t>ncertainty allowance as per SPP2.6</w:t>
      </w:r>
    </w:p>
    <w:p w14:paraId="027E6D80" w14:textId="77777777" w:rsidR="00F3536D" w:rsidRPr="00F9293A" w:rsidRDefault="00F3536D" w:rsidP="00B32A91">
      <w:pPr>
        <w:pStyle w:val="ListBullet0"/>
        <w:numPr>
          <w:ilvl w:val="0"/>
          <w:numId w:val="17"/>
        </w:numPr>
      </w:pPr>
      <w:r w:rsidRPr="00F9293A">
        <w:t>Evaluate total erosion values for each coastal management zones and for f</w:t>
      </w:r>
      <w:r>
        <w:t>our</w:t>
      </w:r>
      <w:r w:rsidRPr="00F9293A">
        <w:t xml:space="preserve"> different planning periods i.e., </w:t>
      </w:r>
      <w:r>
        <w:t>present day, 2047 (short term), 2072 (medium term) and 2122 (long term)</w:t>
      </w:r>
      <w:r w:rsidRPr="00F9293A">
        <w:t xml:space="preserve">. </w:t>
      </w:r>
    </w:p>
    <w:p w14:paraId="22F83205" w14:textId="52AE834C" w:rsidR="00D146B7" w:rsidRPr="00F3536D" w:rsidRDefault="00F3536D" w:rsidP="00B32A91">
      <w:pPr>
        <w:pStyle w:val="ListBullet0"/>
        <w:numPr>
          <w:ilvl w:val="0"/>
          <w:numId w:val="17"/>
        </w:numPr>
      </w:pPr>
      <w:r w:rsidRPr="00F9293A">
        <w:t>Mapping of erosion hazard lines</w:t>
      </w:r>
      <w:r w:rsidR="0091241A">
        <w:t xml:space="preserve"> </w:t>
      </w:r>
      <w:r w:rsidRPr="00F3536D">
        <w:t>defined by HSD+S1+S2+S3+uncertainty</w:t>
      </w:r>
    </w:p>
    <w:p w14:paraId="1DB322F6" w14:textId="77777777" w:rsidR="00AF34DF" w:rsidRPr="00FF5596" w:rsidRDefault="00AF34DF" w:rsidP="00AF34DF">
      <w:pPr>
        <w:pStyle w:val="Heading2"/>
        <w:numPr>
          <w:ilvl w:val="1"/>
          <w:numId w:val="14"/>
        </w:numPr>
      </w:pPr>
      <w:bookmarkStart w:id="62" w:name="_Toc152578211"/>
      <w:bookmarkStart w:id="63" w:name="_Toc164420865"/>
      <w:r>
        <w:t>Inundation Hazard Method</w:t>
      </w:r>
      <w:bookmarkEnd w:id="62"/>
      <w:bookmarkEnd w:id="63"/>
    </w:p>
    <w:p w14:paraId="33106F63" w14:textId="5571A14C" w:rsidR="00AF34DF" w:rsidRDefault="00AF34DF" w:rsidP="0091241A">
      <w:pPr>
        <w:pStyle w:val="ListBullet0"/>
      </w:pPr>
      <w:r>
        <w:t>SPP2.6 requires the allowance for inundation to be the maximum extent of inundation calculated as the sum of S4 Inundation plus the predicted extent of sea level rise.</w:t>
      </w:r>
      <w:r w:rsidR="0091241A">
        <w:t xml:space="preserve"> </w:t>
      </w:r>
      <w:r>
        <w:t xml:space="preserve">A detailed numerical modelling approach </w:t>
      </w:r>
      <w:r w:rsidR="0091241A">
        <w:t>w</w:t>
      </w:r>
      <w:r>
        <w:t xml:space="preserve">as used to assess coastal inundation with calibration to existing studies and information. </w:t>
      </w:r>
    </w:p>
    <w:p w14:paraId="5B9B16C2" w14:textId="1B4F3A0E" w:rsidR="00C557E7" w:rsidRDefault="00676479" w:rsidP="00676479">
      <w:pPr>
        <w:pStyle w:val="BodyText"/>
      </w:pPr>
      <w:r>
        <w:t>The allowance for the extent of coastal inundation has been calculated as the maximum extent of storm inundation during the 500-years average recurrence interval (ARI) storm event. This was defined as the peak steady water level</w:t>
      </w:r>
      <w:r w:rsidR="00C557E7">
        <w:t xml:space="preserve"> calculated based on analysis of available measured water level data</w:t>
      </w:r>
      <w:r>
        <w:t xml:space="preserve">, plus an allowance for wave set-up. An allowance for catchment inundation has also been provided, to account for freshwater runoff from adjacent land catchments. This was calculated using hydrological and hydraulic modelling to estimate the localised increase in water level at the major surface water discharge locations within PRH. </w:t>
      </w:r>
    </w:p>
    <w:p w14:paraId="1451206E" w14:textId="0785D4AE" w:rsidR="00AF34DF" w:rsidRDefault="00AF34DF" w:rsidP="00AF34DF">
      <w:pPr>
        <w:pStyle w:val="Heading2"/>
        <w:numPr>
          <w:ilvl w:val="1"/>
          <w:numId w:val="14"/>
        </w:numPr>
      </w:pPr>
      <w:bookmarkStart w:id="64" w:name="_Toc152578212"/>
      <w:bookmarkStart w:id="65" w:name="_Toc164420866"/>
      <w:r>
        <w:t>Hazard Results</w:t>
      </w:r>
      <w:bookmarkEnd w:id="64"/>
      <w:bookmarkEnd w:id="65"/>
    </w:p>
    <w:p w14:paraId="1807B98B" w14:textId="77777777" w:rsidR="00676479" w:rsidRDefault="00676479" w:rsidP="00676479">
      <w:pPr>
        <w:pStyle w:val="BodyText"/>
      </w:pPr>
      <w:r>
        <w:t>A key outcome of the coastal hazard assessment was the confirmation that both coastal erosion and coastal inundation hazards are present along the PRH shoreline. The interpreted risk levels that will guide adaptation planning for future stages of the project will be governed by either the coastal erosion and coastal inundation extents, depending on the section of the harbour.</w:t>
      </w:r>
    </w:p>
    <w:p w14:paraId="4B83AD6D" w14:textId="46804BC5" w:rsidR="00CD4C64" w:rsidRDefault="00AF34DF" w:rsidP="00AF34DF">
      <w:pPr>
        <w:pStyle w:val="BodyText"/>
        <w:sectPr w:rsidR="00CD4C64" w:rsidSect="00AF34DF">
          <w:headerReference w:type="even" r:id="rId29"/>
          <w:footerReference w:type="even" r:id="rId30"/>
          <w:footerReference w:type="default" r:id="rId31"/>
          <w:headerReference w:type="first" r:id="rId32"/>
          <w:footerReference w:type="first" r:id="rId33"/>
          <w:pgSz w:w="11906" w:h="16838" w:code="9"/>
          <w:pgMar w:top="1985" w:right="1134" w:bottom="1701" w:left="1134" w:header="567" w:footer="567" w:gutter="0"/>
          <w:cols w:space="708"/>
          <w:docGrid w:linePitch="360"/>
        </w:sectPr>
      </w:pPr>
      <w:r>
        <w:lastRenderedPageBreak/>
        <w:t xml:space="preserve">The total erosion </w:t>
      </w:r>
      <w:r w:rsidRPr="00C557E7">
        <w:t>hazard allowance</w:t>
      </w:r>
      <w:r w:rsidR="00C557E7" w:rsidRPr="00C557E7">
        <w:t xml:space="preserve"> and inundation levels for all MU’s is</w:t>
      </w:r>
      <w:r w:rsidR="00C557E7">
        <w:t xml:space="preserve"> available in the </w:t>
      </w:r>
      <w:r w:rsidR="00EE3192">
        <w:t xml:space="preserve">Risk Identification </w:t>
      </w:r>
      <w:r w:rsidR="00C557E7">
        <w:t>Chapter Report (</w:t>
      </w:r>
      <w:r w:rsidR="00EE3192">
        <w:fldChar w:fldCharType="begin"/>
      </w:r>
      <w:r w:rsidR="00EE3192">
        <w:instrText xml:space="preserve"> REF _Ref164242797 \n \h </w:instrText>
      </w:r>
      <w:r w:rsidR="00EE3192">
        <w:fldChar w:fldCharType="separate"/>
      </w:r>
      <w:r w:rsidR="00EE3192">
        <w:t>Appendix C</w:t>
      </w:r>
      <w:r w:rsidR="00EE3192">
        <w:fldChar w:fldCharType="end"/>
      </w:r>
      <w:r w:rsidR="00C557E7" w:rsidRPr="00614E16">
        <w:t>).</w:t>
      </w:r>
      <w:r w:rsidR="00C557E7">
        <w:t xml:space="preserve"> </w:t>
      </w:r>
      <w:r w:rsidR="00C557E7" w:rsidRPr="00C557E7">
        <w:t>Detailed mapping</w:t>
      </w:r>
      <w:r w:rsidRPr="00C557E7">
        <w:t xml:space="preserve"> for all </w:t>
      </w:r>
      <w:r w:rsidRPr="00983148">
        <w:t xml:space="preserve">MU’s is </w:t>
      </w:r>
      <w:r w:rsidR="00C557E7" w:rsidRPr="00983148">
        <w:t>provided in</w:t>
      </w:r>
      <w:r w:rsidR="00B71FE9">
        <w:t xml:space="preserve"> </w:t>
      </w:r>
      <w:r w:rsidR="00B71FE9">
        <w:fldChar w:fldCharType="begin"/>
      </w:r>
      <w:r w:rsidR="00B71FE9">
        <w:instrText xml:space="preserve"> REF _Ref164238666 \n \h </w:instrText>
      </w:r>
      <w:r w:rsidR="00B71FE9">
        <w:fldChar w:fldCharType="separate"/>
      </w:r>
      <w:r w:rsidR="00B71FE9">
        <w:t>Appendix A</w:t>
      </w:r>
      <w:r w:rsidR="00B71FE9">
        <w:fldChar w:fldCharType="end"/>
      </w:r>
      <w:r w:rsidR="00C557E7" w:rsidRPr="00614E16">
        <w:t>.</w:t>
      </w:r>
    </w:p>
    <w:p w14:paraId="3A360171" w14:textId="294C7749" w:rsidR="001500B6" w:rsidRPr="00792B38" w:rsidRDefault="00AF34DF" w:rsidP="001500B6">
      <w:pPr>
        <w:pStyle w:val="Heading1"/>
      </w:pPr>
      <w:bookmarkStart w:id="66" w:name="_Ref164174924"/>
      <w:bookmarkStart w:id="67" w:name="_Ref164174974"/>
      <w:bookmarkStart w:id="68" w:name="_Toc164420867"/>
      <w:r>
        <w:lastRenderedPageBreak/>
        <w:t>Coastal Assets and Community Values Identification</w:t>
      </w:r>
      <w:bookmarkEnd w:id="66"/>
      <w:bookmarkEnd w:id="67"/>
      <w:bookmarkEnd w:id="68"/>
    </w:p>
    <w:p w14:paraId="1BD6041F" w14:textId="768C01BE" w:rsidR="00CD4C64" w:rsidRDefault="00CD4C64" w:rsidP="00CD4C64">
      <w:pPr>
        <w:pStyle w:val="BodyText"/>
      </w:pPr>
      <w:bookmarkStart w:id="69" w:name="_Toc437596110"/>
      <w:bookmarkStart w:id="70" w:name="_Toc437607809"/>
      <w:bookmarkStart w:id="71" w:name="_Toc437607836"/>
      <w:bookmarkStart w:id="72" w:name="_Toc437607847"/>
      <w:bookmarkStart w:id="73" w:name="_Toc437607866"/>
      <w:bookmarkStart w:id="74" w:name="_Toc459357139"/>
      <w:bookmarkStart w:id="75" w:name="_Toc524521773"/>
      <w:r>
        <w:t xml:space="preserve">A </w:t>
      </w:r>
      <w:r w:rsidR="001E51D4">
        <w:t xml:space="preserve">process to identify </w:t>
      </w:r>
      <w:r>
        <w:t xml:space="preserve">Coastal Values and Community Assets </w:t>
      </w:r>
      <w:r w:rsidR="001E51D4">
        <w:t xml:space="preserve">was undertaken for </w:t>
      </w:r>
      <w:r>
        <w:t>the coastal hazard zone</w:t>
      </w:r>
      <w:r w:rsidR="001E51D4">
        <w:t xml:space="preserve"> - reported in the Risk Identification and Vulnerability Analysis Chapter Reports (</w:t>
      </w:r>
      <w:r w:rsidR="001E51D4">
        <w:fldChar w:fldCharType="begin"/>
      </w:r>
      <w:r w:rsidR="001E51D4">
        <w:instrText xml:space="preserve"> REF _Ref164239267 \n \h </w:instrText>
      </w:r>
      <w:r w:rsidR="001E51D4">
        <w:fldChar w:fldCharType="separate"/>
      </w:r>
      <w:r w:rsidR="001E51D4">
        <w:t>Appendix C</w:t>
      </w:r>
      <w:r w:rsidR="001E51D4">
        <w:fldChar w:fldCharType="end"/>
      </w:r>
      <w:r w:rsidR="001E51D4">
        <w:t xml:space="preserve"> and </w:t>
      </w:r>
      <w:r w:rsidR="001E51D4">
        <w:fldChar w:fldCharType="begin"/>
      </w:r>
      <w:r w:rsidR="001E51D4">
        <w:instrText xml:space="preserve"> REF _Ref164239270 \n \h </w:instrText>
      </w:r>
      <w:r w:rsidR="001E51D4">
        <w:fldChar w:fldCharType="separate"/>
      </w:r>
      <w:r w:rsidR="001E51D4">
        <w:t>Appendix D</w:t>
      </w:r>
      <w:r w:rsidR="001E51D4">
        <w:fldChar w:fldCharType="end"/>
      </w:r>
      <w:r w:rsidR="001E51D4">
        <w:t>)</w:t>
      </w:r>
      <w:r>
        <w:t xml:space="preserve">. Community and stakeholder involvement is a critical component of the CHRMAP process, as it defines what and how much value is placed on assets within the study area. This informs the adaptation planning process and ensures all needs are considered. As such, the project contains a high level of community and stakeholder engagement. This provides ownership of the CHRMAP with those that it affects, and acceptance of its outcomes. </w:t>
      </w:r>
    </w:p>
    <w:p w14:paraId="7C68CD42" w14:textId="77777777" w:rsidR="00CD4C64" w:rsidRDefault="00CD4C64" w:rsidP="00CD4C64">
      <w:pPr>
        <w:pStyle w:val="Heading2"/>
        <w:numPr>
          <w:ilvl w:val="1"/>
          <w:numId w:val="14"/>
        </w:numPr>
      </w:pPr>
      <w:bookmarkStart w:id="76" w:name="_Toc152578216"/>
      <w:bookmarkStart w:id="77" w:name="_Toc164420868"/>
      <w:r>
        <w:t>Asset Identification</w:t>
      </w:r>
      <w:bookmarkEnd w:id="76"/>
      <w:bookmarkEnd w:id="77"/>
      <w:r>
        <w:t xml:space="preserve"> </w:t>
      </w:r>
    </w:p>
    <w:p w14:paraId="5B975F6D" w14:textId="77777777" w:rsidR="00CD4C64" w:rsidRDefault="00CD4C64" w:rsidP="00CD4C64">
      <w:pPr>
        <w:pStyle w:val="BodyText"/>
      </w:pPr>
      <w:r>
        <w:t xml:space="preserve">Coastal assets (both natural and built) were identified in the following ways: </w:t>
      </w:r>
    </w:p>
    <w:p w14:paraId="5934BB94" w14:textId="78C70103" w:rsidR="00CD4C64" w:rsidRDefault="00CD4C64" w:rsidP="00B32A91">
      <w:pPr>
        <w:pStyle w:val="ListBullet0"/>
        <w:numPr>
          <w:ilvl w:val="0"/>
          <w:numId w:val="17"/>
        </w:numPr>
      </w:pPr>
      <w:r>
        <w:t xml:space="preserve">Asset information was provided by Steering Group members. </w:t>
      </w:r>
    </w:p>
    <w:p w14:paraId="570CF495" w14:textId="77777777" w:rsidR="00CD4C64" w:rsidRDefault="00CD4C64" w:rsidP="00B32A91">
      <w:pPr>
        <w:pStyle w:val="ListBullet0"/>
        <w:numPr>
          <w:ilvl w:val="0"/>
          <w:numId w:val="17"/>
        </w:numPr>
      </w:pPr>
      <w:r>
        <w:t xml:space="preserve">Landgate assets database, including for roads. </w:t>
      </w:r>
    </w:p>
    <w:p w14:paraId="270FCD79" w14:textId="77777777" w:rsidR="00CD4C64" w:rsidRDefault="00CD4C64" w:rsidP="00B32A91">
      <w:pPr>
        <w:pStyle w:val="ListBullet0"/>
        <w:numPr>
          <w:ilvl w:val="0"/>
          <w:numId w:val="17"/>
        </w:numPr>
      </w:pPr>
      <w:r>
        <w:t xml:space="preserve">The coastal values survey(s) and other engagement activities to identify additional assets of importance and value to the community. </w:t>
      </w:r>
    </w:p>
    <w:p w14:paraId="244A7087" w14:textId="77777777" w:rsidR="00CD4C64" w:rsidRDefault="00CD4C64" w:rsidP="00B32A91">
      <w:pPr>
        <w:pStyle w:val="ListBullet0"/>
        <w:numPr>
          <w:ilvl w:val="0"/>
          <w:numId w:val="17"/>
        </w:numPr>
      </w:pPr>
      <w:r>
        <w:t>Site visit to investigate locations where information was not clear from the desktop assessment.</w:t>
      </w:r>
    </w:p>
    <w:p w14:paraId="56CBAF27" w14:textId="77777777" w:rsidR="00CD4C64" w:rsidRDefault="00CD4C64" w:rsidP="00B32A91">
      <w:pPr>
        <w:pStyle w:val="ListBullet0"/>
        <w:numPr>
          <w:ilvl w:val="0"/>
          <w:numId w:val="17"/>
        </w:numPr>
      </w:pPr>
      <w:r>
        <w:t xml:space="preserve">Manual identification of further assets from aerial photography (e.g., developed areas of foreshore reserve) </w:t>
      </w:r>
    </w:p>
    <w:p w14:paraId="5F0B4947" w14:textId="77777777" w:rsidR="00CD4C64" w:rsidRDefault="00CD4C64" w:rsidP="00CD4C64">
      <w:pPr>
        <w:pStyle w:val="Heading2"/>
        <w:numPr>
          <w:ilvl w:val="1"/>
          <w:numId w:val="14"/>
        </w:numPr>
      </w:pPr>
      <w:bookmarkStart w:id="78" w:name="_Toc108698210"/>
      <w:bookmarkStart w:id="79" w:name="_Ref121244079"/>
      <w:bookmarkStart w:id="80" w:name="_Toc152578217"/>
      <w:bookmarkStart w:id="81" w:name="_Toc164420869"/>
      <w:r>
        <w:t>Asset Classifications</w:t>
      </w:r>
      <w:bookmarkEnd w:id="78"/>
      <w:bookmarkEnd w:id="79"/>
      <w:bookmarkEnd w:id="80"/>
      <w:bookmarkEnd w:id="81"/>
    </w:p>
    <w:p w14:paraId="4F070807" w14:textId="77777777" w:rsidR="00CD4C64" w:rsidRDefault="00CD4C64" w:rsidP="00CD4C64">
      <w:pPr>
        <w:pStyle w:val="BodyText"/>
      </w:pPr>
      <w:r>
        <w:t>At the time of identification, each asset was categorised into a classification. This streamlines the adaptation planning process in subsequent phases of the project. The study team grouped assets as follows:</w:t>
      </w:r>
    </w:p>
    <w:p w14:paraId="7B6B24ED" w14:textId="77777777" w:rsidR="001E51D4" w:rsidRDefault="00924770" w:rsidP="00FF5CBF">
      <w:pPr>
        <w:pStyle w:val="ListBullet0"/>
        <w:numPr>
          <w:ilvl w:val="0"/>
          <w:numId w:val="41"/>
        </w:numPr>
      </w:pPr>
      <w:r>
        <w:t xml:space="preserve">Residential </w:t>
      </w:r>
    </w:p>
    <w:p w14:paraId="49097C97" w14:textId="0A41050B" w:rsidR="00924770" w:rsidRDefault="00924770" w:rsidP="00FF5CBF">
      <w:pPr>
        <w:pStyle w:val="ListBullet0"/>
        <w:numPr>
          <w:ilvl w:val="1"/>
          <w:numId w:val="41"/>
        </w:numPr>
      </w:pPr>
      <w:r>
        <w:t>Private houses and apartments and supporting structures such as sheds and garages, and rural properties</w:t>
      </w:r>
    </w:p>
    <w:p w14:paraId="0BFD8C2B" w14:textId="1D488763" w:rsidR="00924770" w:rsidRDefault="00924770" w:rsidP="00FF5CBF">
      <w:pPr>
        <w:pStyle w:val="ListBullet0"/>
        <w:numPr>
          <w:ilvl w:val="1"/>
          <w:numId w:val="41"/>
        </w:numPr>
      </w:pPr>
      <w:r>
        <w:t xml:space="preserve">Corresponding Local Planning Scheme zones are: Regional Centre, Residential, </w:t>
      </w:r>
      <w:r w:rsidRPr="005D3B1C">
        <w:t>Rural Small Holdings, Rural Residential,</w:t>
      </w:r>
      <w:r>
        <w:t xml:space="preserve"> Rural Enterprise, Rural townsite, Private community purposes </w:t>
      </w:r>
    </w:p>
    <w:p w14:paraId="18F702E6" w14:textId="77777777" w:rsidR="00924770" w:rsidRDefault="00924770" w:rsidP="00B32A91">
      <w:pPr>
        <w:pStyle w:val="ListBullet0"/>
        <w:numPr>
          <w:ilvl w:val="0"/>
          <w:numId w:val="17"/>
        </w:numPr>
      </w:pPr>
      <w:r>
        <w:t>Commercial</w:t>
      </w:r>
    </w:p>
    <w:p w14:paraId="5736EAA6" w14:textId="77777777" w:rsidR="00924770" w:rsidRDefault="00924770" w:rsidP="00FF5CBF">
      <w:pPr>
        <w:pStyle w:val="ListBullet0"/>
        <w:numPr>
          <w:ilvl w:val="1"/>
          <w:numId w:val="41"/>
        </w:numPr>
      </w:pPr>
      <w:r>
        <w:t>This includes shops, businesses, offices etc.</w:t>
      </w:r>
    </w:p>
    <w:p w14:paraId="70D4CBE0" w14:textId="77777777" w:rsidR="00924770" w:rsidRDefault="00924770" w:rsidP="00FF5CBF">
      <w:pPr>
        <w:pStyle w:val="ListBullet0"/>
        <w:numPr>
          <w:ilvl w:val="1"/>
          <w:numId w:val="41"/>
        </w:numPr>
      </w:pPr>
      <w:r>
        <w:t>Corresponding Local Planning Scheme zones are, Light Industry, General Industry, T</w:t>
      </w:r>
      <w:r w:rsidRPr="009C01EA">
        <w:t>ouris</w:t>
      </w:r>
      <w:r>
        <w:t xml:space="preserve">m, Urban &amp; Industrial Development, Commercial, mixed use, service commercial. </w:t>
      </w:r>
    </w:p>
    <w:p w14:paraId="2E9E4DF5" w14:textId="77777777" w:rsidR="00924770" w:rsidRDefault="00924770" w:rsidP="00B32A91">
      <w:pPr>
        <w:pStyle w:val="ListBullet0"/>
        <w:numPr>
          <w:ilvl w:val="0"/>
          <w:numId w:val="17"/>
        </w:numPr>
      </w:pPr>
      <w:r>
        <w:t>Developed Foreshore reserve</w:t>
      </w:r>
    </w:p>
    <w:p w14:paraId="0A2173F8" w14:textId="77777777" w:rsidR="00924770" w:rsidRDefault="00924770" w:rsidP="00FF5CBF">
      <w:pPr>
        <w:pStyle w:val="ListBullet0"/>
        <w:numPr>
          <w:ilvl w:val="1"/>
          <w:numId w:val="41"/>
        </w:numPr>
      </w:pPr>
      <w:r>
        <w:t>Reserve containing public assets, e.g., car parks, public ablutions, playgrounds, walkway, access structures</w:t>
      </w:r>
    </w:p>
    <w:p w14:paraId="406A9AE7" w14:textId="77777777" w:rsidR="00924770" w:rsidRDefault="00924770" w:rsidP="00FF5CBF">
      <w:pPr>
        <w:pStyle w:val="ListBullet0"/>
        <w:numPr>
          <w:ilvl w:val="1"/>
          <w:numId w:val="41"/>
        </w:numPr>
      </w:pPr>
      <w:r>
        <w:t xml:space="preserve">Corresponding Local Planning Scheme zones are </w:t>
      </w:r>
      <w:r w:rsidRPr="00572CBB">
        <w:t>Car Park</w:t>
      </w:r>
      <w:r>
        <w:t>,</w:t>
      </w:r>
      <w:r w:rsidRPr="00572CBB">
        <w:t xml:space="preserve"> Public Open Space</w:t>
      </w:r>
      <w:r>
        <w:t>,</w:t>
      </w:r>
      <w:r w:rsidRPr="00572CBB">
        <w:t xml:space="preserve"> Public Purpose</w:t>
      </w:r>
      <w:r>
        <w:t>,</w:t>
      </w:r>
      <w:r w:rsidRPr="00572CBB">
        <w:t xml:space="preserve"> Public Purposes; Recreational</w:t>
      </w:r>
    </w:p>
    <w:p w14:paraId="54C57765" w14:textId="77777777" w:rsidR="00924770" w:rsidRDefault="00924770" w:rsidP="00B32A91">
      <w:pPr>
        <w:pStyle w:val="ListBullet0"/>
        <w:numPr>
          <w:ilvl w:val="0"/>
          <w:numId w:val="17"/>
        </w:numPr>
      </w:pPr>
      <w:r>
        <w:t xml:space="preserve">Public &amp; Community </w:t>
      </w:r>
    </w:p>
    <w:p w14:paraId="3682319D" w14:textId="77777777" w:rsidR="00924770" w:rsidRDefault="00924770" w:rsidP="00FF5CBF">
      <w:pPr>
        <w:pStyle w:val="ListBullet0"/>
        <w:numPr>
          <w:ilvl w:val="1"/>
          <w:numId w:val="41"/>
        </w:numPr>
      </w:pPr>
      <w:r>
        <w:t>This item mainly relates land that is publicly owned, and includes public infrastructure, the marine facility and its structures, the port and public parks.</w:t>
      </w:r>
    </w:p>
    <w:p w14:paraId="2DED67D9" w14:textId="77777777" w:rsidR="00836B10" w:rsidRDefault="00924770" w:rsidP="00836B10">
      <w:pPr>
        <w:pStyle w:val="ListBullet0"/>
        <w:numPr>
          <w:ilvl w:val="1"/>
          <w:numId w:val="41"/>
        </w:numPr>
      </w:pPr>
      <w:r>
        <w:lastRenderedPageBreak/>
        <w:t>Corresponding Local Planning Scheme zones are: C</w:t>
      </w:r>
      <w:r w:rsidRPr="00DF1B18">
        <w:t>emetery</w:t>
      </w:r>
      <w:r>
        <w:t>,</w:t>
      </w:r>
      <w:r w:rsidRPr="00DF1B18">
        <w:t xml:space="preserve"> C</w:t>
      </w:r>
      <w:r>
        <w:t>ivic</w:t>
      </w:r>
      <w:r w:rsidRPr="00DF1B18">
        <w:t xml:space="preserve"> </w:t>
      </w:r>
      <w:r>
        <w:t>and Community,</w:t>
      </w:r>
      <w:r w:rsidRPr="00DF1B18">
        <w:t xml:space="preserve"> C</w:t>
      </w:r>
      <w:r>
        <w:t>ultural Facilities,</w:t>
      </w:r>
      <w:r w:rsidRPr="00DF1B18">
        <w:t xml:space="preserve"> D</w:t>
      </w:r>
      <w:r>
        <w:t>rainage/Waterway</w:t>
      </w:r>
      <w:r w:rsidRPr="00DF1B18">
        <w:t>; E</w:t>
      </w:r>
      <w:r>
        <w:t>ducation,</w:t>
      </w:r>
      <w:r w:rsidRPr="00DF1B18">
        <w:t xml:space="preserve"> E</w:t>
      </w:r>
      <w:r>
        <w:t>mergency Services</w:t>
      </w:r>
      <w:r w:rsidRPr="00DF1B18">
        <w:t>; G</w:t>
      </w:r>
      <w:r>
        <w:t>overnment Services</w:t>
      </w:r>
      <w:r w:rsidRPr="00DF1B18">
        <w:t xml:space="preserve">; </w:t>
      </w:r>
      <w:r>
        <w:t>Infrastructure</w:t>
      </w:r>
      <w:r w:rsidRPr="00DF1B18">
        <w:t>; M</w:t>
      </w:r>
      <w:r>
        <w:t>edical Services,</w:t>
      </w:r>
      <w:r w:rsidRPr="00DF1B18">
        <w:t xml:space="preserve"> Neighbourhood Centre; R</w:t>
      </w:r>
      <w:r>
        <w:t>ailways, Social Care Facilities, Special Purpose</w:t>
      </w:r>
      <w:r w:rsidRPr="00DF1B18">
        <w:t xml:space="preserve">; </w:t>
      </w:r>
      <w:r>
        <w:t>Strategic Industry and Infrastructure, S</w:t>
      </w:r>
      <w:r w:rsidRPr="00DF1B18">
        <w:t>pecial Use</w:t>
      </w:r>
    </w:p>
    <w:p w14:paraId="6E58E693" w14:textId="574FDD66" w:rsidR="00924770" w:rsidRDefault="00924770" w:rsidP="00836B10">
      <w:pPr>
        <w:pStyle w:val="ListBullet0"/>
        <w:numPr>
          <w:ilvl w:val="1"/>
          <w:numId w:val="41"/>
        </w:numPr>
      </w:pPr>
      <w:r>
        <w:t xml:space="preserve">Special Purpose Areas within this category include </w:t>
      </w:r>
      <w:r w:rsidR="00A97817">
        <w:t>P</w:t>
      </w:r>
      <w:r w:rsidRPr="006D5B28">
        <w:t>ublic drinking water sources</w:t>
      </w:r>
      <w:r w:rsidR="00A97817">
        <w:t>;</w:t>
      </w:r>
      <w:r w:rsidRPr="006D5B28">
        <w:t xml:space="preserve"> special control areas</w:t>
      </w:r>
      <w:r w:rsidR="00A97817">
        <w:t xml:space="preserve"> such as the </w:t>
      </w:r>
      <w:r w:rsidRPr="00767F2E">
        <w:t>Albany port special control area</w:t>
      </w:r>
    </w:p>
    <w:p w14:paraId="6392984D" w14:textId="77777777" w:rsidR="00924770" w:rsidRDefault="00924770" w:rsidP="00A97817">
      <w:pPr>
        <w:pStyle w:val="ListBullet0"/>
        <w:numPr>
          <w:ilvl w:val="0"/>
          <w:numId w:val="60"/>
        </w:numPr>
      </w:pPr>
      <w:r>
        <w:t>Roads</w:t>
      </w:r>
    </w:p>
    <w:p w14:paraId="09E9A867" w14:textId="77777777" w:rsidR="00924770" w:rsidRDefault="00924770" w:rsidP="00FF5CBF">
      <w:pPr>
        <w:pStyle w:val="ListBullet0"/>
        <w:numPr>
          <w:ilvl w:val="1"/>
          <w:numId w:val="41"/>
        </w:numPr>
      </w:pPr>
      <w:r>
        <w:t>Corresponding Local Planning Scheme zones are Distribution, Local, M</w:t>
      </w:r>
      <w:r w:rsidRPr="00115391">
        <w:t xml:space="preserve">ajor and </w:t>
      </w:r>
      <w:r>
        <w:t>Pr</w:t>
      </w:r>
      <w:r w:rsidRPr="00115391">
        <w:t xml:space="preserve">iority </w:t>
      </w:r>
      <w:r>
        <w:t>R</w:t>
      </w:r>
      <w:r w:rsidRPr="00115391">
        <w:t>oads</w:t>
      </w:r>
    </w:p>
    <w:p w14:paraId="63EE3681" w14:textId="77777777" w:rsidR="00924770" w:rsidRDefault="00924770" w:rsidP="00A97817">
      <w:pPr>
        <w:pStyle w:val="ListBullet0"/>
        <w:numPr>
          <w:ilvl w:val="0"/>
          <w:numId w:val="60"/>
        </w:numPr>
      </w:pPr>
      <w:r>
        <w:t>Environmental</w:t>
      </w:r>
    </w:p>
    <w:p w14:paraId="44ADF0D1" w14:textId="77777777" w:rsidR="00924770" w:rsidRDefault="00924770" w:rsidP="00FF5CBF">
      <w:pPr>
        <w:pStyle w:val="ListBullet0"/>
        <w:numPr>
          <w:ilvl w:val="1"/>
          <w:numId w:val="41"/>
        </w:numPr>
      </w:pPr>
      <w:r>
        <w:t xml:space="preserve">This category covers all undeveloped foreshore </w:t>
      </w:r>
    </w:p>
    <w:p w14:paraId="5FFC68BA" w14:textId="77777777" w:rsidR="00924770" w:rsidRDefault="00924770" w:rsidP="00FF5CBF">
      <w:pPr>
        <w:pStyle w:val="ListBullet0"/>
        <w:numPr>
          <w:ilvl w:val="1"/>
          <w:numId w:val="41"/>
        </w:numPr>
      </w:pPr>
      <w:r>
        <w:t xml:space="preserve">A large area of the foreshore is classified as Environmental Conservation within the </w:t>
      </w:r>
      <w:r w:rsidRPr="00B52AB1">
        <w:t>Local Planning Scheme</w:t>
      </w:r>
      <w:r>
        <w:t>.</w:t>
      </w:r>
    </w:p>
    <w:p w14:paraId="714A8980" w14:textId="77777777" w:rsidR="00924770" w:rsidRDefault="00924770" w:rsidP="00A97817">
      <w:pPr>
        <w:pStyle w:val="ListBullet0"/>
        <w:numPr>
          <w:ilvl w:val="0"/>
          <w:numId w:val="60"/>
        </w:numPr>
      </w:pPr>
      <w:r>
        <w:t>Heritage</w:t>
      </w:r>
    </w:p>
    <w:p w14:paraId="5389DCD9" w14:textId="77777777" w:rsidR="00924770" w:rsidRDefault="00924770" w:rsidP="00FF5CBF">
      <w:pPr>
        <w:pStyle w:val="ListBullet0"/>
        <w:numPr>
          <w:ilvl w:val="1"/>
          <w:numId w:val="41"/>
        </w:numPr>
      </w:pPr>
      <w:r>
        <w:t>This includes any Historical sites within the City and Aboriginal Heritage.</w:t>
      </w:r>
    </w:p>
    <w:p w14:paraId="6AEA59A8" w14:textId="77777777" w:rsidR="00924770" w:rsidRDefault="00924770" w:rsidP="00FF5CBF">
      <w:pPr>
        <w:pStyle w:val="ListBullet0"/>
        <w:numPr>
          <w:ilvl w:val="1"/>
          <w:numId w:val="41"/>
        </w:numPr>
      </w:pPr>
      <w:r>
        <w:t>Specific Aboriginal Heritage sites are obtained from the Aboriginal Heritage Inquiry System, hosted by the Department of Planning, Lands and Heritage.</w:t>
      </w:r>
      <w:bookmarkStart w:id="82" w:name="_Toc78215358"/>
    </w:p>
    <w:p w14:paraId="208670D4" w14:textId="77777777" w:rsidR="00CD4C64" w:rsidRDefault="00CD4C64" w:rsidP="00CD4C64">
      <w:pPr>
        <w:pStyle w:val="Heading2"/>
        <w:numPr>
          <w:ilvl w:val="1"/>
          <w:numId w:val="14"/>
        </w:numPr>
      </w:pPr>
      <w:bookmarkStart w:id="83" w:name="_Toc108698213"/>
      <w:bookmarkStart w:id="84" w:name="_Toc152578218"/>
      <w:bookmarkStart w:id="85" w:name="_Toc164420870"/>
      <w:bookmarkEnd w:id="82"/>
      <w:r>
        <w:t>Community Values Engagement Process</w:t>
      </w:r>
      <w:bookmarkEnd w:id="83"/>
      <w:bookmarkEnd w:id="84"/>
      <w:bookmarkEnd w:id="85"/>
      <w:r>
        <w:t xml:space="preserve"> </w:t>
      </w:r>
    </w:p>
    <w:p w14:paraId="60A3470F" w14:textId="585409F7" w:rsidR="00CD4C64" w:rsidRDefault="00CD4C64" w:rsidP="00CD4C64">
      <w:pPr>
        <w:pStyle w:val="BodyText"/>
      </w:pPr>
      <w:r>
        <w:t xml:space="preserve">The engagement activities for </w:t>
      </w:r>
      <w:r w:rsidR="00924770">
        <w:t xml:space="preserve">the project have been presented in Section </w:t>
      </w:r>
      <w:r w:rsidR="00924770">
        <w:fldChar w:fldCharType="begin"/>
      </w:r>
      <w:r w:rsidR="00924770">
        <w:instrText xml:space="preserve"> REF _Ref163221663 \r \h </w:instrText>
      </w:r>
      <w:r w:rsidR="00924770">
        <w:fldChar w:fldCharType="separate"/>
      </w:r>
      <w:r w:rsidR="00594B04">
        <w:t>2.7</w:t>
      </w:r>
      <w:r w:rsidR="00924770">
        <w:fldChar w:fldCharType="end"/>
      </w:r>
      <w:r w:rsidR="00924770">
        <w:t xml:space="preserve">. Specifically for this stage </w:t>
      </w:r>
      <w:r>
        <w:t xml:space="preserve">of the project </w:t>
      </w:r>
      <w:r w:rsidR="00924770">
        <w:t xml:space="preserve">they </w:t>
      </w:r>
      <w:r>
        <w:t>included:</w:t>
      </w:r>
    </w:p>
    <w:p w14:paraId="170F2132" w14:textId="117FFAF1" w:rsidR="00CD4C64" w:rsidRDefault="00924770" w:rsidP="00A97817">
      <w:pPr>
        <w:pStyle w:val="ListBullet0"/>
        <w:numPr>
          <w:ilvl w:val="0"/>
          <w:numId w:val="60"/>
        </w:numPr>
      </w:pPr>
      <w:r>
        <w:t>Coastal values survey</w:t>
      </w:r>
    </w:p>
    <w:p w14:paraId="7D63AC9A" w14:textId="23686E5D" w:rsidR="00924770" w:rsidRDefault="00924770" w:rsidP="00A97817">
      <w:pPr>
        <w:pStyle w:val="ListBullet0"/>
        <w:numPr>
          <w:ilvl w:val="0"/>
          <w:numId w:val="60"/>
        </w:numPr>
      </w:pPr>
      <w:r>
        <w:t>Information session</w:t>
      </w:r>
    </w:p>
    <w:p w14:paraId="60E5489B" w14:textId="4510344C" w:rsidR="00924770" w:rsidRDefault="00924770" w:rsidP="00A97817">
      <w:pPr>
        <w:pStyle w:val="ListBullet0"/>
        <w:numPr>
          <w:ilvl w:val="0"/>
          <w:numId w:val="60"/>
        </w:numPr>
      </w:pPr>
      <w:r>
        <w:t>Intercept surveying</w:t>
      </w:r>
    </w:p>
    <w:p w14:paraId="27C72101" w14:textId="77777777" w:rsidR="00924770" w:rsidRPr="00924770" w:rsidRDefault="00924770" w:rsidP="00A97817">
      <w:pPr>
        <w:pStyle w:val="ListBullet0"/>
        <w:numPr>
          <w:ilvl w:val="0"/>
          <w:numId w:val="60"/>
        </w:numPr>
      </w:pPr>
      <w:r>
        <w:t>Community and Business Reference Group</w:t>
      </w:r>
      <w:r w:rsidRPr="00107A7E">
        <w:t xml:space="preserve"> </w:t>
      </w:r>
    </w:p>
    <w:p w14:paraId="59ED2DFC" w14:textId="04EC4381" w:rsidR="00CD4C64" w:rsidRDefault="00924770" w:rsidP="00A97817">
      <w:pPr>
        <w:pStyle w:val="ListBullet0"/>
        <w:numPr>
          <w:ilvl w:val="0"/>
          <w:numId w:val="60"/>
        </w:numPr>
      </w:pPr>
      <w:r w:rsidRPr="00107A7E">
        <w:t>Letterbox drop and social media posts</w:t>
      </w:r>
    </w:p>
    <w:p w14:paraId="4A7CEBC5" w14:textId="04E4D682" w:rsidR="00CD4C64" w:rsidRDefault="00CD4C64" w:rsidP="00CD4C64">
      <w:pPr>
        <w:pStyle w:val="BodyText"/>
      </w:pPr>
      <w:r>
        <w:t xml:space="preserve">In the preliminary stage of engagement, stakeholders </w:t>
      </w:r>
      <w:r w:rsidR="001E51D4">
        <w:t>completed</w:t>
      </w:r>
      <w:r w:rsidR="00924770">
        <w:t xml:space="preserve"> a</w:t>
      </w:r>
      <w:r>
        <w:t xml:space="preserve"> survey </w:t>
      </w:r>
      <w:r w:rsidR="00924770">
        <w:t xml:space="preserve">to </w:t>
      </w:r>
      <w:r>
        <w:t>comment on activities they value and their locational preferences for these. Participants also provide</w:t>
      </w:r>
      <w:r w:rsidR="001E51D4">
        <w:t>d</w:t>
      </w:r>
      <w:r>
        <w:t xml:space="preserve"> feedback on how they use the different areas of the coastline. </w:t>
      </w:r>
    </w:p>
    <w:p w14:paraId="5B5A488F" w14:textId="77777777" w:rsidR="00CD4C64" w:rsidRDefault="00CD4C64" w:rsidP="00CD4C64">
      <w:pPr>
        <w:pStyle w:val="Heading2"/>
        <w:numPr>
          <w:ilvl w:val="1"/>
          <w:numId w:val="14"/>
        </w:numPr>
      </w:pPr>
      <w:bookmarkStart w:id="86" w:name="_Toc152578219"/>
      <w:bookmarkStart w:id="87" w:name="_Toc164420871"/>
      <w:r>
        <w:t>Coastal Assets and Community Values</w:t>
      </w:r>
      <w:bookmarkEnd w:id="86"/>
      <w:bookmarkEnd w:id="87"/>
    </w:p>
    <w:p w14:paraId="319E83F2" w14:textId="79F238F2" w:rsidR="00CD4C64" w:rsidRDefault="00CD4C64" w:rsidP="00CD4C64">
      <w:pPr>
        <w:pStyle w:val="BodyText"/>
      </w:pPr>
      <w:r>
        <w:t xml:space="preserve">Key values identified by participants across the whole study area </w:t>
      </w:r>
      <w:r w:rsidR="00F1209C">
        <w:t xml:space="preserve">are </w:t>
      </w:r>
      <w:r>
        <w:t>as follows:</w:t>
      </w:r>
    </w:p>
    <w:p w14:paraId="2938A745" w14:textId="7DA00EB6" w:rsidR="00CD4C64" w:rsidRDefault="00CD4C64" w:rsidP="00A97817">
      <w:pPr>
        <w:pStyle w:val="ListBullet0"/>
        <w:numPr>
          <w:ilvl w:val="0"/>
          <w:numId w:val="60"/>
        </w:numPr>
      </w:pPr>
      <w:r>
        <w:t xml:space="preserve">Beaches and </w:t>
      </w:r>
      <w:r w:rsidR="00B50ED6">
        <w:t>foreshore</w:t>
      </w:r>
      <w:r>
        <w:t xml:space="preserve"> areas for activities like walking, </w:t>
      </w:r>
      <w:r w:rsidR="00B50ED6">
        <w:t xml:space="preserve">cycling, </w:t>
      </w:r>
      <w:r w:rsidR="003C3335">
        <w:t xml:space="preserve">visiting nearby venues, </w:t>
      </w:r>
      <w:r w:rsidR="00B50ED6">
        <w:t xml:space="preserve">fishing, </w:t>
      </w:r>
      <w:r>
        <w:t>swimming, exercise, views</w:t>
      </w:r>
      <w:r w:rsidR="003C3335">
        <w:t>, residing nearby</w:t>
      </w:r>
      <w:r>
        <w:t xml:space="preserve"> </w:t>
      </w:r>
    </w:p>
    <w:p w14:paraId="7D75B90F" w14:textId="14E53954" w:rsidR="00CD4C64" w:rsidRDefault="003C3335" w:rsidP="00A97817">
      <w:pPr>
        <w:pStyle w:val="ListBullet0"/>
        <w:numPr>
          <w:ilvl w:val="0"/>
          <w:numId w:val="60"/>
        </w:numPr>
      </w:pPr>
      <w:r>
        <w:t>Health of e</w:t>
      </w:r>
      <w:r w:rsidR="00CD4C64">
        <w:t xml:space="preserve">nvironmental areas for their flora and fauna diversity which participants could appreciate </w:t>
      </w:r>
      <w:r>
        <w:t>– by birdwatching for example</w:t>
      </w:r>
    </w:p>
    <w:p w14:paraId="7287EFA8" w14:textId="77777777" w:rsidR="003C3335" w:rsidRPr="003C3335" w:rsidRDefault="00CD4C64" w:rsidP="00A97817">
      <w:pPr>
        <w:pStyle w:val="ListBullet0"/>
        <w:numPr>
          <w:ilvl w:val="0"/>
          <w:numId w:val="60"/>
        </w:numPr>
      </w:pPr>
      <w:r w:rsidRPr="00107A7E">
        <w:t xml:space="preserve">Coastal </w:t>
      </w:r>
      <w:r w:rsidR="003C3335" w:rsidRPr="00107A7E">
        <w:t>recreation</w:t>
      </w:r>
    </w:p>
    <w:p w14:paraId="12374DB2" w14:textId="5BEA2150" w:rsidR="003C3335" w:rsidRPr="003C3335" w:rsidRDefault="003C3335" w:rsidP="00A97817">
      <w:pPr>
        <w:pStyle w:val="ListBullet0"/>
        <w:numPr>
          <w:ilvl w:val="0"/>
          <w:numId w:val="60"/>
        </w:numPr>
      </w:pPr>
      <w:r w:rsidRPr="00107A7E">
        <w:t xml:space="preserve">Tourism </w:t>
      </w:r>
    </w:p>
    <w:p w14:paraId="473297BB" w14:textId="77777777" w:rsidR="003C3335" w:rsidRPr="003C3335" w:rsidRDefault="003C3335" w:rsidP="00A97817">
      <w:pPr>
        <w:pStyle w:val="ListBullet0"/>
        <w:numPr>
          <w:ilvl w:val="0"/>
          <w:numId w:val="60"/>
        </w:numPr>
      </w:pPr>
      <w:r w:rsidRPr="00107A7E">
        <w:t>Cultural significant (Aboriginal and European Heritage)</w:t>
      </w:r>
    </w:p>
    <w:p w14:paraId="0E26666A" w14:textId="77777777" w:rsidR="00CD4C64" w:rsidRDefault="00CD4C64" w:rsidP="00CD4C64">
      <w:pPr>
        <w:pStyle w:val="BodyText"/>
      </w:pPr>
      <w:r>
        <w:t>Key issues and concerns / risks to the coastal values:</w:t>
      </w:r>
    </w:p>
    <w:p w14:paraId="565899B6" w14:textId="77777777" w:rsidR="003C3335" w:rsidRDefault="003C3335" w:rsidP="00A97817">
      <w:pPr>
        <w:pStyle w:val="ListBullet0"/>
        <w:numPr>
          <w:ilvl w:val="0"/>
          <w:numId w:val="60"/>
        </w:numPr>
      </w:pPr>
      <w:r>
        <w:lastRenderedPageBreak/>
        <w:t>Public access to the beach and foreshore</w:t>
      </w:r>
    </w:p>
    <w:p w14:paraId="7233B391" w14:textId="629702F0" w:rsidR="00CD4C64" w:rsidRDefault="00CD4C64" w:rsidP="00A97817">
      <w:pPr>
        <w:pStyle w:val="ListBullet0"/>
        <w:numPr>
          <w:ilvl w:val="0"/>
          <w:numId w:val="60"/>
        </w:numPr>
      </w:pPr>
      <w:r>
        <w:t>Beach erosion and its environmental, social and financial impacts</w:t>
      </w:r>
    </w:p>
    <w:p w14:paraId="34B16E81" w14:textId="200DC3DF" w:rsidR="00CD4C64" w:rsidRDefault="00CD4C64" w:rsidP="00A97817">
      <w:pPr>
        <w:pStyle w:val="ListBullet0"/>
        <w:numPr>
          <w:ilvl w:val="0"/>
          <w:numId w:val="60"/>
        </w:numPr>
      </w:pPr>
      <w:r>
        <w:t xml:space="preserve">Vegetation retention, revegetation and the need to do more to protect coastal areas from erosion </w:t>
      </w:r>
    </w:p>
    <w:p w14:paraId="15E919B1" w14:textId="4B1FF2F1" w:rsidR="00CD4C64" w:rsidRDefault="00CD4C64" w:rsidP="00A97817">
      <w:pPr>
        <w:pStyle w:val="ListBullet0"/>
        <w:numPr>
          <w:ilvl w:val="0"/>
          <w:numId w:val="60"/>
        </w:numPr>
      </w:pPr>
      <w:r>
        <w:t>Human impact on the coastal natural assets and values to the community</w:t>
      </w:r>
    </w:p>
    <w:p w14:paraId="6C6C22D9" w14:textId="77777777" w:rsidR="00CD4C64" w:rsidRDefault="00CD4C64" w:rsidP="00CD4C64">
      <w:pPr>
        <w:pStyle w:val="Heading2"/>
        <w:numPr>
          <w:ilvl w:val="1"/>
          <w:numId w:val="14"/>
        </w:numPr>
      </w:pPr>
      <w:bookmarkStart w:id="88" w:name="_Toc152578220"/>
      <w:bookmarkStart w:id="89" w:name="_Toc164420872"/>
      <w:r>
        <w:t>Success Criteria</w:t>
      </w:r>
      <w:bookmarkEnd w:id="88"/>
      <w:bookmarkEnd w:id="89"/>
    </w:p>
    <w:p w14:paraId="0B81D5F9" w14:textId="496AAC0C" w:rsidR="00CD4C64" w:rsidRDefault="00CD4C64" w:rsidP="00CD4C64">
      <w:pPr>
        <w:pStyle w:val="BodyText"/>
      </w:pPr>
      <w:r>
        <w:t xml:space="preserve">The values collated from the engagement were used to generate the success criteria for the vulnerability and risk assessment component of the CHRMAP. These are key to the whole CHRMAP as these criteria were used to drive the selection of adaptation options. The success criteria are </w:t>
      </w:r>
      <w:r w:rsidR="004E5FAC">
        <w:t xml:space="preserve">presented </w:t>
      </w:r>
      <w:r>
        <w:t xml:space="preserve">in </w:t>
      </w:r>
      <w:r>
        <w:fldChar w:fldCharType="begin"/>
      </w:r>
      <w:r>
        <w:instrText xml:space="preserve"> REF _Ref102641015 \h </w:instrText>
      </w:r>
      <w:r>
        <w:fldChar w:fldCharType="separate"/>
      </w:r>
      <w:r w:rsidR="00594B04">
        <w:t>Table </w:t>
      </w:r>
      <w:r w:rsidR="00594B04">
        <w:rPr>
          <w:noProof/>
        </w:rPr>
        <w:t>4</w:t>
      </w:r>
      <w:r w:rsidR="00594B04">
        <w:noBreakHyphen/>
      </w:r>
      <w:r w:rsidR="00594B04">
        <w:rPr>
          <w:noProof/>
        </w:rPr>
        <w:t>1</w:t>
      </w:r>
      <w:r>
        <w:fldChar w:fldCharType="end"/>
      </w:r>
      <w:r w:rsidR="004E5FAC">
        <w:t xml:space="preserve"> below</w:t>
      </w:r>
      <w:r>
        <w:t xml:space="preserve">. </w:t>
      </w:r>
    </w:p>
    <w:p w14:paraId="0EFA5DBE" w14:textId="53002DD5" w:rsidR="00CD4C64" w:rsidRDefault="00CD4C64" w:rsidP="00CD4C64">
      <w:pPr>
        <w:pStyle w:val="TableCaption"/>
      </w:pPr>
      <w:bookmarkStart w:id="90" w:name="_Ref102641015"/>
      <w:bookmarkStart w:id="91" w:name="_Toc107582213"/>
      <w:bookmarkStart w:id="92" w:name="_Toc108698225"/>
      <w:bookmarkStart w:id="93" w:name="_Toc152578337"/>
      <w:bookmarkStart w:id="94" w:name="_Toc164411274"/>
      <w:r>
        <w:t>Table </w:t>
      </w:r>
      <w:r w:rsidR="008647EF">
        <w:fldChar w:fldCharType="begin"/>
      </w:r>
      <w:r w:rsidR="008647EF">
        <w:instrText xml:space="preserve"> STYLEREF 1 \s </w:instrText>
      </w:r>
      <w:r w:rsidR="008647EF">
        <w:fldChar w:fldCharType="separate"/>
      </w:r>
      <w:r w:rsidR="008647EF">
        <w:rPr>
          <w:noProof/>
        </w:rPr>
        <w:t>4</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1</w:t>
      </w:r>
      <w:r w:rsidR="008647EF">
        <w:fldChar w:fldCharType="end"/>
      </w:r>
      <w:bookmarkEnd w:id="90"/>
      <w:r>
        <w:tab/>
        <w:t>Success criteria</w:t>
      </w:r>
      <w:bookmarkEnd w:id="91"/>
      <w:bookmarkEnd w:id="92"/>
      <w:bookmarkEnd w:id="93"/>
      <w:bookmarkEnd w:id="94"/>
    </w:p>
    <w:tbl>
      <w:tblPr>
        <w:tblStyle w:val="GreenTable"/>
        <w:tblW w:w="5000" w:type="pct"/>
        <w:tblLayout w:type="fixed"/>
        <w:tblLook w:val="0620" w:firstRow="1" w:lastRow="0" w:firstColumn="0" w:lastColumn="0" w:noHBand="1" w:noVBand="1"/>
      </w:tblPr>
      <w:tblGrid>
        <w:gridCol w:w="9628"/>
      </w:tblGrid>
      <w:tr w:rsidR="003C3335" w14:paraId="13DB8A07" w14:textId="77777777" w:rsidTr="00F65818">
        <w:trPr>
          <w:cnfStyle w:val="100000000000" w:firstRow="1" w:lastRow="0" w:firstColumn="0" w:lastColumn="0" w:oddVBand="0" w:evenVBand="0" w:oddHBand="0" w:evenHBand="0" w:firstRowFirstColumn="0" w:firstRowLastColumn="0" w:lastRowFirstColumn="0" w:lastRowLastColumn="0"/>
        </w:trPr>
        <w:tc>
          <w:tcPr>
            <w:tcW w:w="9628" w:type="dxa"/>
          </w:tcPr>
          <w:p w14:paraId="35EB02EA" w14:textId="11A0A653" w:rsidR="003C3335" w:rsidRPr="004E1C1C" w:rsidRDefault="003C3335" w:rsidP="00CB2877">
            <w:pPr>
              <w:pStyle w:val="TableBullet"/>
              <w:numPr>
                <w:ilvl w:val="0"/>
                <w:numId w:val="16"/>
              </w:numPr>
            </w:pPr>
            <w:r w:rsidRPr="00D215EB">
              <w:rPr>
                <w:bCs/>
              </w:rPr>
              <w:t xml:space="preserve">Ensure future land use and development does not accelerate coastal erosion or inundation risks or have a detrimental impact on the functions of public reserves. </w:t>
            </w:r>
          </w:p>
        </w:tc>
      </w:tr>
      <w:tr w:rsidR="003C3335" w:rsidRPr="003C3335" w14:paraId="1A6C1B66" w14:textId="77777777" w:rsidTr="00F65818">
        <w:tc>
          <w:tcPr>
            <w:tcW w:w="9628" w:type="dxa"/>
            <w:shd w:val="clear" w:color="auto" w:fill="6EB444"/>
          </w:tcPr>
          <w:p w14:paraId="684AD8CD" w14:textId="7A205F8B" w:rsidR="003C3335" w:rsidRPr="003C3335" w:rsidRDefault="003C3335" w:rsidP="00CB2877">
            <w:pPr>
              <w:pStyle w:val="TableBullet"/>
              <w:numPr>
                <w:ilvl w:val="0"/>
                <w:numId w:val="16"/>
              </w:numPr>
              <w:rPr>
                <w:bCs/>
                <w:color w:val="FFFFFF" w:themeColor="background1"/>
              </w:rPr>
            </w:pPr>
            <w:r w:rsidRPr="003C3335">
              <w:rPr>
                <w:bCs/>
                <w:color w:val="FFFFFF" w:themeColor="background1"/>
              </w:rPr>
              <w:t>Manage land at risk of coastal erosion and inundation to avoid inappropriate land use and development.</w:t>
            </w:r>
          </w:p>
        </w:tc>
      </w:tr>
      <w:tr w:rsidR="003C3335" w:rsidRPr="003C3335" w14:paraId="50AC04C2" w14:textId="77777777" w:rsidTr="00F65818">
        <w:tc>
          <w:tcPr>
            <w:tcW w:w="9628" w:type="dxa"/>
            <w:shd w:val="clear" w:color="auto" w:fill="6EB444"/>
          </w:tcPr>
          <w:p w14:paraId="4063D340" w14:textId="28404B4A" w:rsidR="003C3335" w:rsidRPr="003C3335" w:rsidRDefault="003C3335" w:rsidP="00CB2877">
            <w:pPr>
              <w:pStyle w:val="TableBullet"/>
              <w:numPr>
                <w:ilvl w:val="0"/>
                <w:numId w:val="16"/>
              </w:numPr>
              <w:rPr>
                <w:bCs/>
                <w:color w:val="FFFFFF" w:themeColor="background1"/>
              </w:rPr>
            </w:pPr>
            <w:r w:rsidRPr="003C3335">
              <w:rPr>
                <w:bCs/>
                <w:color w:val="FFFFFF" w:themeColor="background1"/>
              </w:rPr>
              <w:t>Maintain the harbour for environmental health, including flora and fauna habitat.</w:t>
            </w:r>
          </w:p>
        </w:tc>
      </w:tr>
      <w:tr w:rsidR="003C3335" w:rsidRPr="003C3335" w14:paraId="03EEBA25" w14:textId="77777777" w:rsidTr="00F65818">
        <w:tc>
          <w:tcPr>
            <w:tcW w:w="9628" w:type="dxa"/>
            <w:shd w:val="clear" w:color="auto" w:fill="6EB444"/>
          </w:tcPr>
          <w:p w14:paraId="723F5D64" w14:textId="03246E1F" w:rsidR="003C3335" w:rsidRPr="003C3335" w:rsidRDefault="003C3335" w:rsidP="00CB2877">
            <w:pPr>
              <w:pStyle w:val="TableBullet"/>
              <w:numPr>
                <w:ilvl w:val="0"/>
                <w:numId w:val="16"/>
              </w:numPr>
              <w:rPr>
                <w:bCs/>
                <w:color w:val="FFFFFF" w:themeColor="background1"/>
              </w:rPr>
            </w:pPr>
            <w:r w:rsidRPr="003C3335">
              <w:rPr>
                <w:bCs/>
                <w:color w:val="FFFFFF" w:themeColor="background1"/>
              </w:rPr>
              <w:t xml:space="preserve">Conserve, enhance and maintain the natural environment and character of the study area </w:t>
            </w:r>
          </w:p>
        </w:tc>
      </w:tr>
      <w:tr w:rsidR="003C3335" w:rsidRPr="003C3335" w14:paraId="42CF0D25" w14:textId="77777777" w:rsidTr="00F65818">
        <w:tc>
          <w:tcPr>
            <w:tcW w:w="9628" w:type="dxa"/>
            <w:shd w:val="clear" w:color="auto" w:fill="6EB444"/>
          </w:tcPr>
          <w:p w14:paraId="7867D7CF" w14:textId="72A9D695" w:rsidR="003C3335" w:rsidRPr="003C3335" w:rsidRDefault="003C3335" w:rsidP="00CB2877">
            <w:pPr>
              <w:pStyle w:val="TableBullet"/>
              <w:numPr>
                <w:ilvl w:val="0"/>
                <w:numId w:val="16"/>
              </w:numPr>
              <w:rPr>
                <w:bCs/>
                <w:color w:val="FFFFFF" w:themeColor="background1"/>
              </w:rPr>
            </w:pPr>
            <w:r w:rsidRPr="003C3335">
              <w:rPr>
                <w:bCs/>
                <w:color w:val="FFFFFF" w:themeColor="background1"/>
              </w:rPr>
              <w:t xml:space="preserve">Sustain the ability for the current and future generation to recreate along the harbour. </w:t>
            </w:r>
          </w:p>
        </w:tc>
      </w:tr>
      <w:tr w:rsidR="003C3335" w:rsidRPr="003C3335" w14:paraId="0B5EA549" w14:textId="77777777" w:rsidTr="00F65818">
        <w:tc>
          <w:tcPr>
            <w:tcW w:w="9628" w:type="dxa"/>
            <w:shd w:val="clear" w:color="auto" w:fill="6EB444"/>
          </w:tcPr>
          <w:p w14:paraId="308F7A96" w14:textId="46B5FB8B" w:rsidR="003C3335" w:rsidRPr="003C3335" w:rsidRDefault="003C3335" w:rsidP="00CB2877">
            <w:pPr>
              <w:pStyle w:val="TableBullet"/>
              <w:numPr>
                <w:ilvl w:val="0"/>
                <w:numId w:val="16"/>
              </w:numPr>
              <w:rPr>
                <w:bCs/>
                <w:color w:val="FFFFFF" w:themeColor="background1"/>
              </w:rPr>
            </w:pPr>
            <w:r w:rsidRPr="003C3335">
              <w:rPr>
                <w:bCs/>
                <w:color w:val="FFFFFF" w:themeColor="background1"/>
              </w:rPr>
              <w:t>Protect and or manage appropriately the provision of recreational assets in the coastal zone</w:t>
            </w:r>
          </w:p>
        </w:tc>
      </w:tr>
    </w:tbl>
    <w:p w14:paraId="2A8B5213" w14:textId="77777777" w:rsidR="00CD4C64" w:rsidRDefault="00CD4C64" w:rsidP="00CD4C64">
      <w:pPr>
        <w:pStyle w:val="BodyText"/>
      </w:pPr>
      <w:r>
        <w:br w:type="page"/>
      </w:r>
    </w:p>
    <w:p w14:paraId="3BF15ED0" w14:textId="14966FF3" w:rsidR="00AF34DF" w:rsidRDefault="00AF34DF" w:rsidP="001500B6">
      <w:pPr>
        <w:pStyle w:val="Heading1"/>
      </w:pPr>
      <w:bookmarkStart w:id="95" w:name="_Ref164242835"/>
      <w:bookmarkStart w:id="96" w:name="_Toc164420873"/>
      <w:r>
        <w:lastRenderedPageBreak/>
        <w:t>Vulnerability Analysis</w:t>
      </w:r>
      <w:bookmarkEnd w:id="95"/>
      <w:bookmarkEnd w:id="96"/>
    </w:p>
    <w:p w14:paraId="7EF0F234" w14:textId="6048B6B1" w:rsidR="00CD4C64" w:rsidRDefault="00CD4C64" w:rsidP="00CD4C64">
      <w:pPr>
        <w:pStyle w:val="BodyText"/>
      </w:pPr>
      <w:r>
        <w:t xml:space="preserve">A </w:t>
      </w:r>
      <w:r w:rsidRPr="00153AE5">
        <w:t>Vulnerability Analysis</w:t>
      </w:r>
      <w:r>
        <w:t xml:space="preserve"> Chapter </w:t>
      </w:r>
      <w:r w:rsidRPr="00340E42">
        <w:t>Report</w:t>
      </w:r>
      <w:r w:rsidR="00614E16">
        <w:t xml:space="preserve"> (</w:t>
      </w:r>
      <w:r w:rsidR="00614E16">
        <w:rPr>
          <w:highlight w:val="yellow"/>
        </w:rPr>
        <w:fldChar w:fldCharType="begin"/>
      </w:r>
      <w:r w:rsidR="00614E16">
        <w:instrText xml:space="preserve"> REF _Ref164174701 \n \h </w:instrText>
      </w:r>
      <w:r w:rsidR="00614E16">
        <w:rPr>
          <w:highlight w:val="yellow"/>
        </w:rPr>
      </w:r>
      <w:r w:rsidR="00614E16">
        <w:rPr>
          <w:highlight w:val="yellow"/>
        </w:rPr>
        <w:fldChar w:fldCharType="separate"/>
      </w:r>
      <w:r w:rsidR="00614E16">
        <w:t>Appendix D</w:t>
      </w:r>
      <w:r w:rsidR="00614E16">
        <w:rPr>
          <w:highlight w:val="yellow"/>
        </w:rPr>
        <w:fldChar w:fldCharType="end"/>
      </w:r>
      <w:r w:rsidR="007B61FD" w:rsidRPr="00340E42">
        <w:t>)</w:t>
      </w:r>
      <w:r w:rsidRPr="00340E42">
        <w:t xml:space="preserve"> was</w:t>
      </w:r>
      <w:r>
        <w:t xml:space="preserve"> prepared which constitutes the second stage of the risk identification process. Likelihood, consequence, level of risk, adaptive capacity and vulnerability scales were developed for the asset categories. All identified at-risk assets within the management units were then assigned vulnerability ratings, according to the various scales. The vulnerability results are presented in full in the Vulnerability Analysis Chapter Report. A summary</w:t>
      </w:r>
      <w:r w:rsidR="000670E7">
        <w:t xml:space="preserve"> of the results</w:t>
      </w:r>
      <w:r>
        <w:t xml:space="preserve"> is presented below by management unit and asset category for </w:t>
      </w:r>
      <w:r w:rsidR="000670E7">
        <w:t xml:space="preserve">each of </w:t>
      </w:r>
      <w:r>
        <w:t>the planning horizons.</w:t>
      </w:r>
    </w:p>
    <w:p w14:paraId="7C88A834" w14:textId="77777777" w:rsidR="00CD4C64" w:rsidRDefault="00CD4C64" w:rsidP="00CD4C64">
      <w:pPr>
        <w:pStyle w:val="Heading2"/>
        <w:numPr>
          <w:ilvl w:val="1"/>
          <w:numId w:val="14"/>
        </w:numPr>
      </w:pPr>
      <w:bookmarkStart w:id="97" w:name="_Toc152578222"/>
      <w:bookmarkStart w:id="98" w:name="_Toc164420874"/>
      <w:r>
        <w:t>Method</w:t>
      </w:r>
      <w:bookmarkEnd w:id="97"/>
      <w:bookmarkEnd w:id="98"/>
    </w:p>
    <w:p w14:paraId="21A9C1B6" w14:textId="07F38F34" w:rsidR="00CD4C64" w:rsidRDefault="00CD4C64" w:rsidP="00CD4C64">
      <w:pPr>
        <w:pStyle w:val="BodyText"/>
      </w:pPr>
      <w:r>
        <w:t xml:space="preserve">A vulnerability assessment defines the degree of impact coastal hazards are likely to have on coastal assets over the planning timeframe. The vulnerability of coastal assets to coastal hazards is related to its exposure to the hazard, its sensitivity to that exposure, and </w:t>
      </w:r>
      <w:r w:rsidRPr="00227C5F">
        <w:t>the ability of the asset to be modified or adapted to manage this exposure</w:t>
      </w:r>
      <w:r>
        <w:t xml:space="preserve">. This is displayed diagrammatically in </w:t>
      </w:r>
      <w:r>
        <w:fldChar w:fldCharType="begin"/>
      </w:r>
      <w:r>
        <w:instrText xml:space="preserve"> REF _Ref519592312 \h </w:instrText>
      </w:r>
      <w:r>
        <w:fldChar w:fldCharType="separate"/>
      </w:r>
      <w:r w:rsidR="00594B04">
        <w:t xml:space="preserve">Figure </w:t>
      </w:r>
      <w:r w:rsidR="00594B04">
        <w:rPr>
          <w:noProof/>
        </w:rPr>
        <w:t>5</w:t>
      </w:r>
      <w:r w:rsidR="00594B04">
        <w:noBreakHyphen/>
      </w:r>
      <w:r w:rsidR="00594B04">
        <w:rPr>
          <w:noProof/>
        </w:rPr>
        <w:t>1</w:t>
      </w:r>
      <w:r>
        <w:fldChar w:fldCharType="end"/>
      </w:r>
      <w:r>
        <w:t>; the input components are displayed in blue.</w:t>
      </w:r>
    </w:p>
    <w:p w14:paraId="08792F79" w14:textId="6B037BD8" w:rsidR="00CD4C64" w:rsidRDefault="00CD4C64" w:rsidP="00CD4C64">
      <w:pPr>
        <w:pStyle w:val="BodyText"/>
      </w:pPr>
      <w:r>
        <w:t xml:space="preserve">Inundation and erosion hazards are considered separately. Assets are grouped according to classification for ease of </w:t>
      </w:r>
      <w:r w:rsidRPr="00911E86">
        <w:t>interpretation</w:t>
      </w:r>
      <w:r w:rsidRPr="00640797">
        <w:t xml:space="preserve">. Ratings were discussed with the Steering </w:t>
      </w:r>
      <w:r>
        <w:t xml:space="preserve">Group </w:t>
      </w:r>
      <w:r w:rsidRPr="00640797">
        <w:t xml:space="preserve">to ensure they </w:t>
      </w:r>
      <w:r>
        <w:t>reflect the community views</w:t>
      </w:r>
      <w:r w:rsidR="005E417D">
        <w:t xml:space="preserve"> and confirmed during the Community Workshops in May 2023</w:t>
      </w:r>
      <w:r w:rsidRPr="00911E86">
        <w:t>.</w:t>
      </w:r>
    </w:p>
    <w:p w14:paraId="2C1EEBF5" w14:textId="77777777" w:rsidR="00CD4C64" w:rsidRPr="00D03301" w:rsidRDefault="00CD4C64" w:rsidP="00CD4C64">
      <w:pPr>
        <w:pStyle w:val="BodyText"/>
      </w:pPr>
    </w:p>
    <w:p w14:paraId="394ED5EB" w14:textId="77777777" w:rsidR="00CD4C64" w:rsidRDefault="00CD4C64" w:rsidP="00CD4C64">
      <w:pPr>
        <w:pStyle w:val="BodyText"/>
        <w:jc w:val="center"/>
      </w:pPr>
      <w:r w:rsidRPr="004E6260">
        <w:rPr>
          <w:noProof/>
        </w:rPr>
        <w:drawing>
          <wp:inline distT="0" distB="0" distL="0" distR="0" wp14:anchorId="0C8B88FC" wp14:editId="6012D61B">
            <wp:extent cx="4734000" cy="2566800"/>
            <wp:effectExtent l="0" t="0" r="0" b="5080"/>
            <wp:docPr id="16" name="Picture 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34000" cy="2566800"/>
                    </a:xfrm>
                    <a:prstGeom prst="rect">
                      <a:avLst/>
                    </a:prstGeom>
                    <a:noFill/>
                    <a:ln>
                      <a:noFill/>
                    </a:ln>
                  </pic:spPr>
                </pic:pic>
              </a:graphicData>
            </a:graphic>
          </wp:inline>
        </w:drawing>
      </w:r>
    </w:p>
    <w:p w14:paraId="20716FE4" w14:textId="075D09FF" w:rsidR="00CD4C64" w:rsidRDefault="00CD4C64" w:rsidP="00CD4C64">
      <w:pPr>
        <w:pStyle w:val="FigureCaption"/>
      </w:pPr>
      <w:bookmarkStart w:id="99" w:name="_Ref519592312"/>
      <w:bookmarkStart w:id="100" w:name="_Toc17372070"/>
      <w:bookmarkStart w:id="101" w:name="_Toc86921870"/>
      <w:bookmarkStart w:id="102" w:name="_Toc107581684"/>
      <w:bookmarkStart w:id="103" w:name="_Toc152578284"/>
      <w:bookmarkStart w:id="104" w:name="_Toc164411266"/>
      <w:r>
        <w:t xml:space="preserve">Figure </w:t>
      </w:r>
      <w:r w:rsidR="008647EF">
        <w:fldChar w:fldCharType="begin"/>
      </w:r>
      <w:r w:rsidR="008647EF">
        <w:instrText xml:space="preserve"> STYLEREF 1 \s </w:instrText>
      </w:r>
      <w:r w:rsidR="008647EF">
        <w:fldChar w:fldCharType="separate"/>
      </w:r>
      <w:r w:rsidR="008647EF">
        <w:rPr>
          <w:noProof/>
        </w:rPr>
        <w:t>5</w:t>
      </w:r>
      <w:r w:rsidR="008647EF">
        <w:fldChar w:fldCharType="end"/>
      </w:r>
      <w:r w:rsidR="008647EF">
        <w:noBreakHyphen/>
      </w:r>
      <w:r w:rsidR="008647EF">
        <w:fldChar w:fldCharType="begin"/>
      </w:r>
      <w:r w:rsidR="008647EF">
        <w:instrText xml:space="preserve"> SEQ Figure \* ARABIC \s 1 </w:instrText>
      </w:r>
      <w:r w:rsidR="008647EF">
        <w:fldChar w:fldCharType="separate"/>
      </w:r>
      <w:r w:rsidR="008647EF">
        <w:rPr>
          <w:noProof/>
        </w:rPr>
        <w:t>1</w:t>
      </w:r>
      <w:r w:rsidR="008647EF">
        <w:fldChar w:fldCharType="end"/>
      </w:r>
      <w:bookmarkEnd w:id="99"/>
      <w:r>
        <w:tab/>
        <w:t>Vulnerability assessment components (reproduced from Allen Consulting, 2005)</w:t>
      </w:r>
      <w:bookmarkEnd w:id="100"/>
      <w:bookmarkEnd w:id="101"/>
      <w:bookmarkEnd w:id="102"/>
      <w:bookmarkEnd w:id="103"/>
      <w:bookmarkEnd w:id="104"/>
    </w:p>
    <w:p w14:paraId="3ADE374C" w14:textId="77777777" w:rsidR="00CD4C64" w:rsidRDefault="00CD4C64" w:rsidP="00CD4C64">
      <w:pPr>
        <w:pStyle w:val="Heading2"/>
        <w:numPr>
          <w:ilvl w:val="1"/>
          <w:numId w:val="14"/>
        </w:numPr>
      </w:pPr>
      <w:bookmarkStart w:id="105" w:name="_Toc152578223"/>
      <w:bookmarkStart w:id="106" w:name="_Toc164420875"/>
      <w:r>
        <w:t>Identification of Assets</w:t>
      </w:r>
      <w:bookmarkEnd w:id="105"/>
      <w:bookmarkEnd w:id="106"/>
    </w:p>
    <w:p w14:paraId="79FC44A9" w14:textId="3E287CA3" w:rsidR="00CD4C64" w:rsidRPr="00F26833" w:rsidRDefault="00CD4C64" w:rsidP="00CD4C64">
      <w:pPr>
        <w:pStyle w:val="BodyText"/>
      </w:pPr>
      <w:r>
        <w:t xml:space="preserve">One of the main challenges of this CHRMAP is the numerous assets and management zones. The asset classification presented in Section </w:t>
      </w:r>
      <w:r>
        <w:fldChar w:fldCharType="begin"/>
      </w:r>
      <w:r>
        <w:instrText xml:space="preserve"> REF _Ref121244079 \n \h </w:instrText>
      </w:r>
      <w:r>
        <w:fldChar w:fldCharType="separate"/>
      </w:r>
      <w:r w:rsidR="00594B04">
        <w:t>4.2</w:t>
      </w:r>
      <w:r>
        <w:fldChar w:fldCharType="end"/>
      </w:r>
      <w:r>
        <w:t xml:space="preserve"> was developed to address the main coastal adaptation issues and key locations and enable a simple yet effective method for adaptation planning across the broader study area.</w:t>
      </w:r>
    </w:p>
    <w:p w14:paraId="5DE2F05E" w14:textId="77777777" w:rsidR="00CD4C64" w:rsidRDefault="00CD4C64" w:rsidP="00CD4C64">
      <w:pPr>
        <w:pStyle w:val="Heading2"/>
        <w:numPr>
          <w:ilvl w:val="1"/>
          <w:numId w:val="14"/>
        </w:numPr>
      </w:pPr>
      <w:bookmarkStart w:id="107" w:name="_Toc152578224"/>
      <w:bookmarkStart w:id="108" w:name="_Toc164420876"/>
      <w:r>
        <w:t>Exposure / Likelihood</w:t>
      </w:r>
      <w:bookmarkEnd w:id="107"/>
      <w:bookmarkEnd w:id="108"/>
    </w:p>
    <w:p w14:paraId="662C326B" w14:textId="2BA446A2" w:rsidR="00CD4C64" w:rsidRDefault="00CD4C64" w:rsidP="00CD4C64">
      <w:pPr>
        <w:pStyle w:val="BodyText"/>
      </w:pPr>
      <w:r>
        <w:t xml:space="preserve">The </w:t>
      </w:r>
      <w:r w:rsidRPr="00F85CB9">
        <w:rPr>
          <w:rStyle w:val="Emphasis"/>
          <w:rFonts w:eastAsiaTheme="majorEastAsia"/>
        </w:rPr>
        <w:t>exposure</w:t>
      </w:r>
      <w:r>
        <w:rPr>
          <w:rStyle w:val="Emphasis"/>
          <w:rFonts w:eastAsiaTheme="majorEastAsia"/>
        </w:rPr>
        <w:t xml:space="preserve"> / likelihood</w:t>
      </w:r>
      <w:r>
        <w:t xml:space="preserve"> of identified assets represents the likelihood of coastal hazards impacting on an asset. That is, the chance of erosion and / or storm surge inundation impacting on existing and future assets and their values (WAPC, 2019). The likelihood scale adopted for this study is presented in </w:t>
      </w:r>
      <w:r>
        <w:fldChar w:fldCharType="begin"/>
      </w:r>
      <w:r>
        <w:instrText xml:space="preserve"> REF _Ref73102175 \h </w:instrText>
      </w:r>
      <w:r>
        <w:fldChar w:fldCharType="separate"/>
      </w:r>
      <w:r w:rsidR="00594B04">
        <w:t>Table </w:t>
      </w:r>
      <w:r w:rsidR="00594B04">
        <w:rPr>
          <w:noProof/>
        </w:rPr>
        <w:t>5</w:t>
      </w:r>
      <w:r w:rsidR="00594B04">
        <w:noBreakHyphen/>
      </w:r>
      <w:r w:rsidR="00594B04">
        <w:rPr>
          <w:noProof/>
        </w:rPr>
        <w:t>1</w:t>
      </w:r>
      <w:r>
        <w:fldChar w:fldCharType="end"/>
      </w:r>
      <w:r>
        <w:t xml:space="preserve">. Ratings have been allocated to asset categories for each hazard at each timeframe based on the interpretation of the hazard assessment results. The methods used are explained in detail in </w:t>
      </w:r>
      <w:r w:rsidRPr="00153AE5">
        <w:t>Vulnerability Analysis</w:t>
      </w:r>
      <w:r>
        <w:t xml:space="preserve"> Chapter Report.</w:t>
      </w:r>
    </w:p>
    <w:p w14:paraId="3467183E" w14:textId="7BDD9345" w:rsidR="005E417D" w:rsidRDefault="005E417D" w:rsidP="005E417D">
      <w:pPr>
        <w:pStyle w:val="TableCaption"/>
      </w:pPr>
      <w:bookmarkStart w:id="109" w:name="_Ref73102175"/>
      <w:bookmarkStart w:id="110" w:name="_Toc86921884"/>
      <w:bookmarkStart w:id="111" w:name="_Toc107582209"/>
      <w:bookmarkStart w:id="112" w:name="_Toc127990243"/>
      <w:bookmarkStart w:id="113" w:name="_Toc164411275"/>
      <w:bookmarkStart w:id="114" w:name="_Toc152578225"/>
      <w:r>
        <w:lastRenderedPageBreak/>
        <w:t>Table </w:t>
      </w:r>
      <w:r w:rsidR="008647EF">
        <w:fldChar w:fldCharType="begin"/>
      </w:r>
      <w:r w:rsidR="008647EF">
        <w:instrText xml:space="preserve"> STYLEREF 1 \s </w:instrText>
      </w:r>
      <w:r w:rsidR="008647EF">
        <w:fldChar w:fldCharType="separate"/>
      </w:r>
      <w:r w:rsidR="008647EF">
        <w:rPr>
          <w:noProof/>
        </w:rPr>
        <w:t>5</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1</w:t>
      </w:r>
      <w:r w:rsidR="008647EF">
        <w:fldChar w:fldCharType="end"/>
      </w:r>
      <w:bookmarkEnd w:id="109"/>
      <w:r>
        <w:tab/>
        <w:t>Exposure/Likelihood Rating</w:t>
      </w:r>
      <w:bookmarkEnd w:id="110"/>
      <w:bookmarkEnd w:id="111"/>
      <w:bookmarkEnd w:id="112"/>
      <w:bookmarkEnd w:id="113"/>
    </w:p>
    <w:tbl>
      <w:tblPr>
        <w:tblStyle w:val="BlueTable"/>
        <w:tblW w:w="5000" w:type="pct"/>
        <w:tblLook w:val="0620" w:firstRow="1" w:lastRow="0" w:firstColumn="0" w:lastColumn="0" w:noHBand="1" w:noVBand="1"/>
      </w:tblPr>
      <w:tblGrid>
        <w:gridCol w:w="1960"/>
        <w:gridCol w:w="4414"/>
        <w:gridCol w:w="3254"/>
      </w:tblGrid>
      <w:tr w:rsidR="005E417D" w:rsidRPr="00A151F6" w14:paraId="525513A0" w14:textId="77777777" w:rsidTr="00301C60">
        <w:trPr>
          <w:cnfStyle w:val="100000000000" w:firstRow="1" w:lastRow="0" w:firstColumn="0" w:lastColumn="0" w:oddVBand="0" w:evenVBand="0" w:oddHBand="0" w:evenHBand="0" w:firstRowFirstColumn="0" w:firstRowLastColumn="0" w:lastRowFirstColumn="0" w:lastRowLastColumn="0"/>
        </w:trPr>
        <w:tc>
          <w:tcPr>
            <w:tcW w:w="1960" w:type="dxa"/>
            <w:noWrap/>
            <w:hideMark/>
          </w:tcPr>
          <w:p w14:paraId="7219BFAA" w14:textId="77777777" w:rsidR="005E417D" w:rsidRPr="00A151F6" w:rsidRDefault="005E417D" w:rsidP="00301C60">
            <w:pPr>
              <w:pStyle w:val="TableHeading"/>
              <w:rPr>
                <w:rFonts w:eastAsia="Times New Roman"/>
                <w:lang w:eastAsia="en-AU"/>
              </w:rPr>
            </w:pPr>
            <w:r w:rsidRPr="00A151F6">
              <w:rPr>
                <w:rFonts w:eastAsia="Times New Roman"/>
                <w:lang w:eastAsia="en-AU"/>
              </w:rPr>
              <w:t>Likelihood Rating</w:t>
            </w:r>
          </w:p>
        </w:tc>
        <w:tc>
          <w:tcPr>
            <w:tcW w:w="4414" w:type="dxa"/>
            <w:noWrap/>
            <w:hideMark/>
          </w:tcPr>
          <w:p w14:paraId="60DABEFD" w14:textId="77777777" w:rsidR="005E417D" w:rsidRPr="00A151F6" w:rsidRDefault="005E417D" w:rsidP="00301C60">
            <w:pPr>
              <w:pStyle w:val="TableHeading"/>
              <w:rPr>
                <w:rFonts w:eastAsia="Times New Roman"/>
                <w:lang w:eastAsia="en-AU"/>
              </w:rPr>
            </w:pPr>
            <w:r w:rsidRPr="00A151F6">
              <w:rPr>
                <w:rFonts w:eastAsia="Times New Roman"/>
                <w:lang w:eastAsia="en-AU"/>
              </w:rPr>
              <w:t>Description</w:t>
            </w:r>
          </w:p>
        </w:tc>
        <w:tc>
          <w:tcPr>
            <w:tcW w:w="3254" w:type="dxa"/>
          </w:tcPr>
          <w:p w14:paraId="42DDCED8" w14:textId="77777777" w:rsidR="005E417D" w:rsidRPr="00A151F6" w:rsidRDefault="005E417D" w:rsidP="00301C60">
            <w:pPr>
              <w:pStyle w:val="TableHeading"/>
              <w:rPr>
                <w:rFonts w:eastAsia="Times New Roman"/>
                <w:lang w:eastAsia="en-AU"/>
              </w:rPr>
            </w:pPr>
            <w:r w:rsidRPr="600C80A6">
              <w:rPr>
                <w:rFonts w:eastAsia="Times New Roman"/>
                <w:lang w:eastAsia="en-AU"/>
              </w:rPr>
              <w:t>Annual Exceedance Probability</w:t>
            </w:r>
            <w:r>
              <w:rPr>
                <w:rFonts w:eastAsia="Times New Roman"/>
                <w:lang w:eastAsia="en-AU"/>
              </w:rPr>
              <w:t xml:space="preserve"> for 100-year timeframe</w:t>
            </w:r>
          </w:p>
        </w:tc>
      </w:tr>
      <w:tr w:rsidR="005E417D" w:rsidRPr="00A151F6" w14:paraId="40828165" w14:textId="77777777" w:rsidTr="00301C60">
        <w:tc>
          <w:tcPr>
            <w:tcW w:w="1960" w:type="dxa"/>
            <w:shd w:val="clear" w:color="auto" w:fill="E1E1E1"/>
            <w:noWrap/>
            <w:vAlign w:val="center"/>
            <w:hideMark/>
          </w:tcPr>
          <w:p w14:paraId="24DED531" w14:textId="77777777" w:rsidR="005E417D" w:rsidRPr="00E80995" w:rsidRDefault="005E417D" w:rsidP="00301C60">
            <w:pPr>
              <w:pStyle w:val="TableText"/>
              <w:rPr>
                <w:rFonts w:eastAsia="Times New Roman"/>
                <w:b/>
                <w:bCs/>
                <w:color w:val="FF0000"/>
                <w:lang w:eastAsia="en-AU"/>
              </w:rPr>
            </w:pPr>
            <w:r w:rsidRPr="00E80995">
              <w:rPr>
                <w:rFonts w:eastAsia="Times New Roman"/>
                <w:b/>
                <w:bCs/>
                <w:color w:val="FF0000"/>
                <w:lang w:eastAsia="en-AU"/>
              </w:rPr>
              <w:t>Almost Certain</w:t>
            </w:r>
          </w:p>
        </w:tc>
        <w:tc>
          <w:tcPr>
            <w:tcW w:w="4414" w:type="dxa"/>
            <w:noWrap/>
            <w:hideMark/>
          </w:tcPr>
          <w:p w14:paraId="13A57A24" w14:textId="77777777" w:rsidR="005E417D" w:rsidRPr="00E80995" w:rsidRDefault="005E417D" w:rsidP="00301C60">
            <w:pPr>
              <w:pStyle w:val="TableText"/>
            </w:pPr>
            <w:r w:rsidRPr="00E80995">
              <w:t>Expected to occur in most circumstances</w:t>
            </w:r>
          </w:p>
        </w:tc>
        <w:tc>
          <w:tcPr>
            <w:tcW w:w="3254" w:type="dxa"/>
            <w:vAlign w:val="center"/>
          </w:tcPr>
          <w:p w14:paraId="4E4B798A" w14:textId="77777777" w:rsidR="005E417D" w:rsidRPr="00E80995" w:rsidRDefault="005E417D" w:rsidP="00301C60">
            <w:pPr>
              <w:pStyle w:val="TableText"/>
              <w:jc w:val="center"/>
            </w:pPr>
            <w:r>
              <w:t>&gt;90%</w:t>
            </w:r>
          </w:p>
        </w:tc>
      </w:tr>
      <w:tr w:rsidR="005E417D" w:rsidRPr="00A151F6" w14:paraId="45D627C1" w14:textId="77777777" w:rsidTr="00301C60">
        <w:tc>
          <w:tcPr>
            <w:tcW w:w="1960" w:type="dxa"/>
            <w:shd w:val="clear" w:color="auto" w:fill="E1E1E1"/>
            <w:noWrap/>
            <w:vAlign w:val="center"/>
            <w:hideMark/>
          </w:tcPr>
          <w:p w14:paraId="69AAC67F" w14:textId="77777777" w:rsidR="005E417D" w:rsidRPr="00E80995" w:rsidRDefault="005E417D" w:rsidP="00301C60">
            <w:pPr>
              <w:pStyle w:val="TableText"/>
              <w:rPr>
                <w:rFonts w:eastAsia="Times New Roman"/>
                <w:b/>
                <w:bCs/>
                <w:color w:val="FFC000"/>
                <w:lang w:eastAsia="en-AU"/>
              </w:rPr>
            </w:pPr>
            <w:r w:rsidRPr="00E80995">
              <w:rPr>
                <w:rFonts w:eastAsia="Times New Roman"/>
                <w:b/>
                <w:bCs/>
                <w:color w:val="FFC000"/>
                <w:lang w:eastAsia="en-AU"/>
              </w:rPr>
              <w:t>Likely</w:t>
            </w:r>
          </w:p>
        </w:tc>
        <w:tc>
          <w:tcPr>
            <w:tcW w:w="4414" w:type="dxa"/>
            <w:noWrap/>
            <w:hideMark/>
          </w:tcPr>
          <w:p w14:paraId="578DE8ED" w14:textId="77777777" w:rsidR="005E417D" w:rsidRPr="00E80995" w:rsidRDefault="005E417D" w:rsidP="00301C60">
            <w:pPr>
              <w:pStyle w:val="TableText"/>
            </w:pPr>
            <w:r w:rsidRPr="00E80995">
              <w:t>Impact to asset shoreline for a given planning timeframe is likely</w:t>
            </w:r>
          </w:p>
        </w:tc>
        <w:tc>
          <w:tcPr>
            <w:tcW w:w="3254" w:type="dxa"/>
            <w:vAlign w:val="center"/>
          </w:tcPr>
          <w:p w14:paraId="7A2DB06C" w14:textId="77777777" w:rsidR="005E417D" w:rsidRPr="00E80995" w:rsidRDefault="005E417D" w:rsidP="00301C60">
            <w:pPr>
              <w:pStyle w:val="TableText"/>
              <w:jc w:val="center"/>
            </w:pPr>
            <w:r>
              <w:t>50-90%</w:t>
            </w:r>
          </w:p>
        </w:tc>
      </w:tr>
      <w:tr w:rsidR="005E417D" w:rsidRPr="00A151F6" w14:paraId="57200B80" w14:textId="77777777" w:rsidTr="00301C60">
        <w:tc>
          <w:tcPr>
            <w:tcW w:w="1960" w:type="dxa"/>
            <w:shd w:val="clear" w:color="auto" w:fill="E1E1E1"/>
            <w:noWrap/>
            <w:vAlign w:val="center"/>
            <w:hideMark/>
          </w:tcPr>
          <w:p w14:paraId="43BFEF27" w14:textId="77777777" w:rsidR="005E417D" w:rsidRPr="00E80995" w:rsidRDefault="005E417D" w:rsidP="00301C60">
            <w:pPr>
              <w:pStyle w:val="TableText"/>
              <w:rPr>
                <w:rFonts w:eastAsia="Times New Roman"/>
                <w:b/>
                <w:bCs/>
                <w:color w:val="FFFF00"/>
                <w:lang w:eastAsia="en-AU"/>
              </w:rPr>
            </w:pPr>
            <w:r w:rsidRPr="00E80995">
              <w:rPr>
                <w:rFonts w:eastAsia="Times New Roman"/>
                <w:b/>
                <w:bCs/>
                <w:color w:val="FFFF00"/>
                <w:lang w:eastAsia="en-AU"/>
              </w:rPr>
              <w:t>Possible</w:t>
            </w:r>
          </w:p>
        </w:tc>
        <w:tc>
          <w:tcPr>
            <w:tcW w:w="4414" w:type="dxa"/>
            <w:noWrap/>
            <w:hideMark/>
          </w:tcPr>
          <w:p w14:paraId="3546956B" w14:textId="77777777" w:rsidR="005E417D" w:rsidRPr="00E80995" w:rsidRDefault="005E417D" w:rsidP="00301C60">
            <w:pPr>
              <w:pStyle w:val="TableText"/>
            </w:pPr>
            <w:r w:rsidRPr="00E80995">
              <w:t>Impact to asset shoreline for a given planning timeframe is possible</w:t>
            </w:r>
          </w:p>
        </w:tc>
        <w:tc>
          <w:tcPr>
            <w:tcW w:w="3254" w:type="dxa"/>
            <w:vAlign w:val="center"/>
          </w:tcPr>
          <w:p w14:paraId="6FDEF313" w14:textId="77777777" w:rsidR="005E417D" w:rsidRPr="00E80995" w:rsidRDefault="005E417D" w:rsidP="00301C60">
            <w:pPr>
              <w:pStyle w:val="TableText"/>
              <w:jc w:val="center"/>
            </w:pPr>
            <w:r>
              <w:t>10-50%</w:t>
            </w:r>
          </w:p>
        </w:tc>
      </w:tr>
      <w:tr w:rsidR="005E417D" w:rsidRPr="00A151F6" w14:paraId="28920758" w14:textId="77777777" w:rsidTr="00301C60">
        <w:tc>
          <w:tcPr>
            <w:tcW w:w="1960" w:type="dxa"/>
            <w:shd w:val="clear" w:color="auto" w:fill="E1E1E1"/>
            <w:noWrap/>
            <w:vAlign w:val="center"/>
            <w:hideMark/>
          </w:tcPr>
          <w:p w14:paraId="0366010D" w14:textId="77777777" w:rsidR="005E417D" w:rsidRPr="00E80995" w:rsidRDefault="005E417D" w:rsidP="00301C60">
            <w:pPr>
              <w:pStyle w:val="TableText"/>
              <w:rPr>
                <w:rFonts w:eastAsia="Times New Roman"/>
                <w:b/>
                <w:bCs/>
                <w:color w:val="00B050"/>
                <w:lang w:eastAsia="en-AU"/>
              </w:rPr>
            </w:pPr>
            <w:r w:rsidRPr="00E80995">
              <w:rPr>
                <w:rFonts w:eastAsia="Times New Roman"/>
                <w:b/>
                <w:bCs/>
                <w:color w:val="00B050"/>
                <w:lang w:eastAsia="en-AU"/>
              </w:rPr>
              <w:t>Unlikely</w:t>
            </w:r>
          </w:p>
        </w:tc>
        <w:tc>
          <w:tcPr>
            <w:tcW w:w="4414" w:type="dxa"/>
            <w:noWrap/>
            <w:hideMark/>
          </w:tcPr>
          <w:p w14:paraId="7B42F123" w14:textId="77777777" w:rsidR="005E417D" w:rsidRPr="00E80995" w:rsidRDefault="005E417D" w:rsidP="00301C60">
            <w:pPr>
              <w:pStyle w:val="TableText"/>
            </w:pPr>
            <w:r w:rsidRPr="00E80995">
              <w:t>Impact to asset shoreline for a given planning timeframe is unlikely</w:t>
            </w:r>
          </w:p>
        </w:tc>
        <w:tc>
          <w:tcPr>
            <w:tcW w:w="3254" w:type="dxa"/>
            <w:vAlign w:val="center"/>
          </w:tcPr>
          <w:p w14:paraId="5229CC5E" w14:textId="77777777" w:rsidR="005E417D" w:rsidRPr="00E80995" w:rsidRDefault="005E417D" w:rsidP="00301C60">
            <w:pPr>
              <w:pStyle w:val="TableText"/>
              <w:jc w:val="center"/>
            </w:pPr>
            <w:r>
              <w:t>1-10%</w:t>
            </w:r>
          </w:p>
        </w:tc>
      </w:tr>
      <w:tr w:rsidR="005E417D" w:rsidRPr="00A151F6" w14:paraId="1D8EBA60" w14:textId="77777777" w:rsidTr="00301C60">
        <w:tc>
          <w:tcPr>
            <w:tcW w:w="1960" w:type="dxa"/>
            <w:shd w:val="clear" w:color="auto" w:fill="E1E1E1"/>
            <w:noWrap/>
            <w:vAlign w:val="center"/>
            <w:hideMark/>
          </w:tcPr>
          <w:p w14:paraId="0530829B" w14:textId="77777777" w:rsidR="005E417D" w:rsidRPr="00E80995" w:rsidRDefault="005E417D" w:rsidP="00301C60">
            <w:pPr>
              <w:pStyle w:val="TableText"/>
              <w:rPr>
                <w:rFonts w:eastAsia="Times New Roman"/>
                <w:b/>
                <w:bCs/>
                <w:color w:val="00B0F0"/>
                <w:lang w:eastAsia="en-AU"/>
              </w:rPr>
            </w:pPr>
            <w:r w:rsidRPr="00E80995">
              <w:rPr>
                <w:rFonts w:eastAsia="Times New Roman"/>
                <w:b/>
                <w:bCs/>
                <w:color w:val="00B0F0"/>
                <w:lang w:eastAsia="en-AU"/>
              </w:rPr>
              <w:t>Rare</w:t>
            </w:r>
          </w:p>
        </w:tc>
        <w:tc>
          <w:tcPr>
            <w:tcW w:w="4414" w:type="dxa"/>
            <w:noWrap/>
            <w:hideMark/>
          </w:tcPr>
          <w:p w14:paraId="310F1A4C" w14:textId="77777777" w:rsidR="005E417D" w:rsidRPr="00E80995" w:rsidRDefault="005E417D" w:rsidP="00301C60">
            <w:pPr>
              <w:pStyle w:val="TableText"/>
            </w:pPr>
            <w:r w:rsidRPr="00E80995">
              <w:t xml:space="preserve">May </w:t>
            </w:r>
            <w:r>
              <w:t>o</w:t>
            </w:r>
            <w:r w:rsidRPr="00E80995">
              <w:t>ccur in exceptional circumstances</w:t>
            </w:r>
          </w:p>
        </w:tc>
        <w:tc>
          <w:tcPr>
            <w:tcW w:w="3254" w:type="dxa"/>
            <w:vAlign w:val="center"/>
          </w:tcPr>
          <w:p w14:paraId="2B70B2F9" w14:textId="77777777" w:rsidR="005E417D" w:rsidRPr="00E80995" w:rsidRDefault="005E417D" w:rsidP="00301C60">
            <w:pPr>
              <w:pStyle w:val="TableText"/>
              <w:jc w:val="center"/>
            </w:pPr>
            <w:r>
              <w:t>&lt;1%</w:t>
            </w:r>
          </w:p>
        </w:tc>
      </w:tr>
    </w:tbl>
    <w:p w14:paraId="290397DE" w14:textId="77777777" w:rsidR="00CD4C64" w:rsidRDefault="00CD4C64" w:rsidP="00CD4C64">
      <w:pPr>
        <w:pStyle w:val="Heading2"/>
        <w:numPr>
          <w:ilvl w:val="1"/>
          <w:numId w:val="14"/>
        </w:numPr>
      </w:pPr>
      <w:bookmarkStart w:id="115" w:name="_Toc164420877"/>
      <w:r>
        <w:t>Sensitivity / Consequence</w:t>
      </w:r>
      <w:bookmarkEnd w:id="114"/>
      <w:bookmarkEnd w:id="115"/>
    </w:p>
    <w:p w14:paraId="09E5F97E" w14:textId="77777777" w:rsidR="00CD4C64" w:rsidRDefault="00CD4C64" w:rsidP="00CD4C64">
      <w:pPr>
        <w:pStyle w:val="BodyText"/>
      </w:pPr>
      <w:r>
        <w:t xml:space="preserve">The </w:t>
      </w:r>
      <w:r w:rsidRPr="00F85CB9">
        <w:rPr>
          <w:rStyle w:val="Emphasis"/>
          <w:rFonts w:eastAsiaTheme="majorEastAsia"/>
        </w:rPr>
        <w:t>sensitivity</w:t>
      </w:r>
      <w:r>
        <w:rPr>
          <w:rStyle w:val="Emphasis"/>
          <w:rFonts w:eastAsiaTheme="majorEastAsia"/>
        </w:rPr>
        <w:t xml:space="preserve"> / consequence</w:t>
      </w:r>
      <w:r>
        <w:t xml:space="preserve"> is an asset’s responsiveness to a coastal hazard. This could be a gradual or stepped change response to discrete events (WAPC, 2019). The sensitivity can be applied to the asset itself, or to the asset’s function and the criticality of the service it provides (CoastAdapt, 2017).</w:t>
      </w:r>
    </w:p>
    <w:p w14:paraId="56A10215" w14:textId="652605CE" w:rsidR="00CD4C64" w:rsidRDefault="00CD4C64" w:rsidP="00CD4C64">
      <w:pPr>
        <w:pStyle w:val="BodyText"/>
      </w:pPr>
      <w:r>
        <w:t xml:space="preserve">The consequence ranking presented in </w:t>
      </w:r>
      <w:r w:rsidR="00614E16">
        <w:t>(</w:t>
      </w:r>
      <w:r w:rsidR="004E5FAC">
        <w:fldChar w:fldCharType="begin"/>
      </w:r>
      <w:r w:rsidR="004E5FAC">
        <w:instrText xml:space="preserve"> REF _Ref116914956 \h </w:instrText>
      </w:r>
      <w:r w:rsidR="004E5FAC">
        <w:fldChar w:fldCharType="separate"/>
      </w:r>
      <w:r w:rsidR="004E5FAC">
        <w:t>Table </w:t>
      </w:r>
      <w:r w:rsidR="004E5FAC">
        <w:rPr>
          <w:noProof/>
        </w:rPr>
        <w:t>5</w:t>
      </w:r>
      <w:r w:rsidR="004E5FAC">
        <w:noBreakHyphen/>
      </w:r>
      <w:r w:rsidR="004E5FAC">
        <w:rPr>
          <w:noProof/>
        </w:rPr>
        <w:t>2</w:t>
      </w:r>
      <w:r w:rsidR="004E5FAC">
        <w:fldChar w:fldCharType="end"/>
      </w:r>
      <w:r w:rsidR="004E5FAC">
        <w:t xml:space="preserve">) </w:t>
      </w:r>
      <w:r w:rsidRPr="00C770B3">
        <w:t>constitutes the physical impact of the event to the asset, as well as that of the values attributed to it by the success criteria defined</w:t>
      </w:r>
      <w:r>
        <w:t xml:space="preserve"> earlier in the study.</w:t>
      </w:r>
    </w:p>
    <w:p w14:paraId="79D9B904" w14:textId="060285E8" w:rsidR="00CD4C64" w:rsidRDefault="00CD4C64" w:rsidP="00CD4C64">
      <w:pPr>
        <w:pStyle w:val="BodyText"/>
      </w:pPr>
      <w:r>
        <w:t>For each hazard, the consequence was assessed against the criteria qualitatively, based on experience of the impacts of coastal erosion and inundation, and the examples presented in the consequence scale.</w:t>
      </w:r>
      <w:r w:rsidR="000670E7">
        <w:t xml:space="preserve"> Each asset category is assigned a sensitivity / consequence rating, for erosion and inundation respectively.</w:t>
      </w:r>
      <w:r>
        <w:t xml:space="preserve"> The purpose of assigning vulnerability is to identify and prioritise what requires adaptation. </w:t>
      </w:r>
    </w:p>
    <w:p w14:paraId="17E65E85" w14:textId="33E258C1" w:rsidR="005E417D" w:rsidRPr="00995E68" w:rsidRDefault="005E417D" w:rsidP="005E417D">
      <w:pPr>
        <w:pStyle w:val="TableCaption"/>
      </w:pPr>
      <w:bookmarkStart w:id="116" w:name="_Ref116914956"/>
      <w:bookmarkStart w:id="117" w:name="_Toc127990247"/>
      <w:bookmarkStart w:id="118" w:name="_Toc164411276"/>
      <w:r>
        <w:t>Table </w:t>
      </w:r>
      <w:r w:rsidR="008647EF">
        <w:fldChar w:fldCharType="begin"/>
      </w:r>
      <w:r w:rsidR="008647EF">
        <w:instrText xml:space="preserve"> STYLEREF 1 \s </w:instrText>
      </w:r>
      <w:r w:rsidR="008647EF">
        <w:fldChar w:fldCharType="separate"/>
      </w:r>
      <w:r w:rsidR="008647EF">
        <w:rPr>
          <w:noProof/>
        </w:rPr>
        <w:t>5</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2</w:t>
      </w:r>
      <w:r w:rsidR="008647EF">
        <w:fldChar w:fldCharType="end"/>
      </w:r>
      <w:bookmarkEnd w:id="116"/>
      <w:r>
        <w:tab/>
        <w:t>Sensitivity / Consequence ranking</w:t>
      </w:r>
      <w:bookmarkEnd w:id="117"/>
      <w:bookmarkEnd w:id="118"/>
    </w:p>
    <w:tbl>
      <w:tblPr>
        <w:tblStyle w:val="BlueTable"/>
        <w:tblW w:w="5000" w:type="pct"/>
        <w:tblLook w:val="0620" w:firstRow="1" w:lastRow="0" w:firstColumn="0" w:lastColumn="0" w:noHBand="1" w:noVBand="1"/>
      </w:tblPr>
      <w:tblGrid>
        <w:gridCol w:w="1994"/>
        <w:gridCol w:w="2546"/>
        <w:gridCol w:w="2546"/>
        <w:gridCol w:w="2542"/>
      </w:tblGrid>
      <w:tr w:rsidR="005E417D" w14:paraId="1CAC8304" w14:textId="77777777" w:rsidTr="00301C60">
        <w:trPr>
          <w:cnfStyle w:val="100000000000" w:firstRow="1" w:lastRow="0" w:firstColumn="0" w:lastColumn="0" w:oddVBand="0" w:evenVBand="0" w:oddHBand="0" w:evenHBand="0" w:firstRowFirstColumn="0" w:firstRowLastColumn="0" w:lastRowFirstColumn="0" w:lastRowLastColumn="0"/>
        </w:trPr>
        <w:tc>
          <w:tcPr>
            <w:tcW w:w="1035" w:type="pct"/>
          </w:tcPr>
          <w:p w14:paraId="7BC4D07B" w14:textId="77777777" w:rsidR="005E417D" w:rsidRDefault="005E417D" w:rsidP="00301C60">
            <w:pPr>
              <w:pStyle w:val="TableHeading"/>
            </w:pPr>
            <w:r w:rsidRPr="00CF08F3">
              <w:t>Consequence Level</w:t>
            </w:r>
          </w:p>
        </w:tc>
        <w:tc>
          <w:tcPr>
            <w:tcW w:w="1322" w:type="pct"/>
          </w:tcPr>
          <w:p w14:paraId="487EF96A" w14:textId="77777777" w:rsidR="005E417D" w:rsidRDefault="005E417D" w:rsidP="00301C60">
            <w:pPr>
              <w:pStyle w:val="TableHeading"/>
            </w:pPr>
            <w:r>
              <w:t>Physical, Financial</w:t>
            </w:r>
          </w:p>
        </w:tc>
        <w:tc>
          <w:tcPr>
            <w:tcW w:w="1322" w:type="pct"/>
          </w:tcPr>
          <w:p w14:paraId="4A3345BA" w14:textId="77777777" w:rsidR="005E417D" w:rsidRDefault="005E417D" w:rsidP="00301C60">
            <w:pPr>
              <w:pStyle w:val="TableHeading"/>
            </w:pPr>
            <w:r w:rsidRPr="00CF08F3">
              <w:t>Environment</w:t>
            </w:r>
          </w:p>
        </w:tc>
        <w:tc>
          <w:tcPr>
            <w:tcW w:w="1320" w:type="pct"/>
          </w:tcPr>
          <w:p w14:paraId="2C06D1D4" w14:textId="77777777" w:rsidR="005E417D" w:rsidRDefault="005E417D" w:rsidP="00301C60">
            <w:pPr>
              <w:pStyle w:val="TableHeading"/>
            </w:pPr>
            <w:r>
              <w:t>Community / Social &amp; Cultural</w:t>
            </w:r>
          </w:p>
        </w:tc>
      </w:tr>
      <w:tr w:rsidR="005E417D" w14:paraId="5A868671" w14:textId="77777777" w:rsidTr="00301C60">
        <w:tc>
          <w:tcPr>
            <w:tcW w:w="1035" w:type="pct"/>
            <w:shd w:val="clear" w:color="auto" w:fill="DCDCDC"/>
          </w:tcPr>
          <w:p w14:paraId="212AF17E" w14:textId="77777777" w:rsidR="005E417D" w:rsidRPr="00DD77E3" w:rsidRDefault="005E417D" w:rsidP="00301C60">
            <w:pPr>
              <w:pStyle w:val="TableText"/>
              <w:rPr>
                <w:b/>
                <w:bCs/>
                <w:color w:val="00B0F0"/>
              </w:rPr>
            </w:pPr>
            <w:r w:rsidRPr="00DD77E3">
              <w:rPr>
                <w:b/>
                <w:bCs/>
                <w:color w:val="00B0F0"/>
              </w:rPr>
              <w:t>Insignificant</w:t>
            </w:r>
          </w:p>
        </w:tc>
        <w:tc>
          <w:tcPr>
            <w:tcW w:w="1322" w:type="pct"/>
          </w:tcPr>
          <w:p w14:paraId="077F3BBB" w14:textId="480F0E75" w:rsidR="005E417D" w:rsidRDefault="005E417D" w:rsidP="00301C60">
            <w:pPr>
              <w:pStyle w:val="TableText"/>
            </w:pPr>
            <w:r>
              <w:t xml:space="preserve">No or minimal </w:t>
            </w:r>
            <w:r w:rsidR="001E6399" w:rsidRPr="004D02FA">
              <w:t>damage</w:t>
            </w:r>
            <w:r w:rsidR="001E6399">
              <w:t>,</w:t>
            </w:r>
            <w:r>
              <w:t xml:space="preserve"> perhaps</w:t>
            </w:r>
            <w:r w:rsidRPr="004D02FA">
              <w:t xml:space="preserve"> </w:t>
            </w:r>
            <w:r>
              <w:t>requiring increased maintenance</w:t>
            </w:r>
          </w:p>
          <w:p w14:paraId="372316F4" w14:textId="77777777" w:rsidR="005E417D" w:rsidRPr="004D02FA" w:rsidRDefault="005E417D" w:rsidP="00301C60">
            <w:pPr>
              <w:pStyle w:val="TableText"/>
            </w:pPr>
            <w:r>
              <w:t>Financial loss less than $5,000</w:t>
            </w:r>
          </w:p>
        </w:tc>
        <w:tc>
          <w:tcPr>
            <w:tcW w:w="1322" w:type="pct"/>
          </w:tcPr>
          <w:p w14:paraId="583453F3" w14:textId="77777777" w:rsidR="005E417D" w:rsidRPr="004D02FA" w:rsidRDefault="005E417D" w:rsidP="00301C60">
            <w:pPr>
              <w:pStyle w:val="TableText"/>
            </w:pPr>
            <w:r>
              <w:t>Little impact on environment</w:t>
            </w:r>
          </w:p>
        </w:tc>
        <w:tc>
          <w:tcPr>
            <w:tcW w:w="1320" w:type="pct"/>
          </w:tcPr>
          <w:p w14:paraId="6A856BCA" w14:textId="77777777" w:rsidR="005E417D" w:rsidRDefault="005E417D" w:rsidP="00301C60">
            <w:pPr>
              <w:pStyle w:val="TableText"/>
            </w:pPr>
            <w:r w:rsidRPr="00EF6E49">
              <w:t xml:space="preserve">Minimal short-term inconvenience to asset, services and function, &lt;5% of community affected. </w:t>
            </w:r>
          </w:p>
          <w:p w14:paraId="1B850E69" w14:textId="77777777" w:rsidR="005E417D" w:rsidRPr="004D02FA" w:rsidRDefault="005E417D" w:rsidP="00301C60">
            <w:pPr>
              <w:pStyle w:val="TableText"/>
            </w:pPr>
            <w:r w:rsidRPr="00EF6E49">
              <w:t>Many alternatives exist</w:t>
            </w:r>
          </w:p>
        </w:tc>
      </w:tr>
      <w:tr w:rsidR="005E417D" w14:paraId="26EE7663" w14:textId="77777777" w:rsidTr="00301C60">
        <w:tc>
          <w:tcPr>
            <w:tcW w:w="1035" w:type="pct"/>
            <w:shd w:val="clear" w:color="auto" w:fill="DCDCDC"/>
          </w:tcPr>
          <w:p w14:paraId="75E09502" w14:textId="77777777" w:rsidR="005E417D" w:rsidRPr="00DD77E3" w:rsidRDefault="005E417D" w:rsidP="00301C60">
            <w:pPr>
              <w:pStyle w:val="TableText"/>
              <w:rPr>
                <w:b/>
                <w:bCs/>
              </w:rPr>
            </w:pPr>
            <w:r w:rsidRPr="00DD77E3">
              <w:rPr>
                <w:b/>
                <w:bCs/>
                <w:color w:val="00B050"/>
              </w:rPr>
              <w:t>Minor</w:t>
            </w:r>
          </w:p>
        </w:tc>
        <w:tc>
          <w:tcPr>
            <w:tcW w:w="1322" w:type="pct"/>
          </w:tcPr>
          <w:p w14:paraId="43C16683" w14:textId="67D59490" w:rsidR="005E417D" w:rsidRPr="004D02FA" w:rsidRDefault="005E417D" w:rsidP="00301C60">
            <w:pPr>
              <w:pStyle w:val="TableText"/>
            </w:pPr>
            <w:r>
              <w:t>Minor d</w:t>
            </w:r>
            <w:r w:rsidRPr="004D02FA">
              <w:t xml:space="preserve">amage to assets resulting in restrictions in </w:t>
            </w:r>
            <w:r w:rsidR="001E6399" w:rsidRPr="004D02FA">
              <w:t>capability</w:t>
            </w:r>
            <w:r w:rsidR="001E6399">
              <w:t>,</w:t>
            </w:r>
            <w:r w:rsidRPr="004D02FA">
              <w:t xml:space="preserve"> financial loss of $</w:t>
            </w:r>
            <w:r>
              <w:t>5</w:t>
            </w:r>
            <w:r w:rsidRPr="004D02FA">
              <w:t>,000 to $</w:t>
            </w:r>
            <w:r>
              <w:t>2</w:t>
            </w:r>
            <w:r w:rsidRPr="004D02FA">
              <w:t>0,000</w:t>
            </w:r>
          </w:p>
        </w:tc>
        <w:tc>
          <w:tcPr>
            <w:tcW w:w="1322" w:type="pct"/>
          </w:tcPr>
          <w:p w14:paraId="6D8681EF" w14:textId="77777777" w:rsidR="005E417D" w:rsidRDefault="005E417D" w:rsidP="00301C60">
            <w:pPr>
              <w:pStyle w:val="TableText"/>
            </w:pPr>
            <w:r w:rsidRPr="004D02FA">
              <w:t xml:space="preserve">Short term </w:t>
            </w:r>
            <w:r>
              <w:t>damage to environment</w:t>
            </w:r>
            <w:r w:rsidRPr="004D02FA">
              <w:t>. Recovery will be strong.</w:t>
            </w:r>
          </w:p>
          <w:p w14:paraId="5C339F90" w14:textId="77777777" w:rsidR="005E417D" w:rsidRPr="004D02FA" w:rsidRDefault="005E417D" w:rsidP="00301C60">
            <w:pPr>
              <w:pStyle w:val="TableText"/>
            </w:pPr>
            <w:r>
              <w:t>Local or regional alternate habitat exists</w:t>
            </w:r>
          </w:p>
        </w:tc>
        <w:tc>
          <w:tcPr>
            <w:tcW w:w="1320" w:type="pct"/>
          </w:tcPr>
          <w:p w14:paraId="437D4D53" w14:textId="77777777" w:rsidR="005E417D" w:rsidRDefault="005E417D" w:rsidP="00301C60">
            <w:pPr>
              <w:pStyle w:val="TableText"/>
            </w:pPr>
            <w:r w:rsidRPr="001D4076">
              <w:t xml:space="preserve">Isolated but noticeable (short term) decline or disruption to asset, services and function, &lt;10% of community affected. </w:t>
            </w:r>
          </w:p>
          <w:p w14:paraId="390C4637" w14:textId="77777777" w:rsidR="005E417D" w:rsidRPr="004D02FA" w:rsidRDefault="005E417D" w:rsidP="00301C60">
            <w:pPr>
              <w:pStyle w:val="TableText"/>
            </w:pPr>
            <w:r w:rsidRPr="001D4076">
              <w:t>Alternative sites exist</w:t>
            </w:r>
          </w:p>
        </w:tc>
      </w:tr>
      <w:tr w:rsidR="005E417D" w14:paraId="07838359" w14:textId="77777777" w:rsidTr="00301C60">
        <w:tc>
          <w:tcPr>
            <w:tcW w:w="1035" w:type="pct"/>
            <w:shd w:val="clear" w:color="auto" w:fill="DCDCDC"/>
          </w:tcPr>
          <w:p w14:paraId="2540759B" w14:textId="77777777" w:rsidR="005E417D" w:rsidRPr="00DD77E3" w:rsidRDefault="005E417D" w:rsidP="00301C60">
            <w:pPr>
              <w:pStyle w:val="TableText"/>
              <w:rPr>
                <w:b/>
                <w:bCs/>
                <w:color w:val="FFFF00"/>
              </w:rPr>
            </w:pPr>
            <w:r w:rsidRPr="00DD77E3">
              <w:rPr>
                <w:b/>
                <w:bCs/>
                <w:color w:val="FFFF00"/>
              </w:rPr>
              <w:lastRenderedPageBreak/>
              <w:t>Moderate</w:t>
            </w:r>
          </w:p>
          <w:p w14:paraId="34EC7348" w14:textId="77777777" w:rsidR="005E417D" w:rsidRPr="00DD77E3" w:rsidRDefault="005E417D" w:rsidP="00301C60">
            <w:pPr>
              <w:pStyle w:val="TableText"/>
              <w:rPr>
                <w:b/>
                <w:bCs/>
              </w:rPr>
            </w:pPr>
          </w:p>
        </w:tc>
        <w:tc>
          <w:tcPr>
            <w:tcW w:w="1322" w:type="pct"/>
          </w:tcPr>
          <w:p w14:paraId="6E0F5EEE" w14:textId="77777777" w:rsidR="005E417D" w:rsidRPr="004D02FA" w:rsidRDefault="005E417D" w:rsidP="00301C60">
            <w:pPr>
              <w:pStyle w:val="TableText"/>
            </w:pPr>
            <w:r w:rsidRPr="004D02FA">
              <w:t>Damage to assets resulting in isolated loss of capability, financial loss of $</w:t>
            </w:r>
            <w:r>
              <w:t>20</w:t>
            </w:r>
            <w:r w:rsidRPr="004D02FA">
              <w:t>,000 to $</w:t>
            </w:r>
            <w:r>
              <w:t>50,000</w:t>
            </w:r>
          </w:p>
        </w:tc>
        <w:tc>
          <w:tcPr>
            <w:tcW w:w="1322" w:type="pct"/>
          </w:tcPr>
          <w:p w14:paraId="5EB9BF21" w14:textId="77777777" w:rsidR="005E417D" w:rsidRDefault="005E417D" w:rsidP="00301C60">
            <w:pPr>
              <w:pStyle w:val="TableText"/>
            </w:pPr>
            <w:r w:rsidRPr="004D02FA">
              <w:t xml:space="preserve">Medium term loss of </w:t>
            </w:r>
            <w:r>
              <w:t>environmental assets</w:t>
            </w:r>
            <w:r w:rsidRPr="004D02FA">
              <w:t>. Recovery is likely.</w:t>
            </w:r>
          </w:p>
          <w:p w14:paraId="16E639C5" w14:textId="77777777" w:rsidR="005E417D" w:rsidRPr="004D02FA" w:rsidRDefault="005E417D" w:rsidP="00301C60">
            <w:pPr>
              <w:pStyle w:val="TableText"/>
            </w:pPr>
            <w:r w:rsidRPr="00171F56">
              <w:t xml:space="preserve">Local </w:t>
            </w:r>
            <w:r>
              <w:t xml:space="preserve">or regional </w:t>
            </w:r>
            <w:r w:rsidRPr="00171F56">
              <w:t>alternate habitats exist</w:t>
            </w:r>
            <w:r>
              <w:t>. Environmental damage requiring restitution or internal clean-up.</w:t>
            </w:r>
          </w:p>
        </w:tc>
        <w:tc>
          <w:tcPr>
            <w:tcW w:w="1320" w:type="pct"/>
          </w:tcPr>
          <w:p w14:paraId="1942F9CF" w14:textId="77777777" w:rsidR="005E417D" w:rsidRDefault="005E417D" w:rsidP="00301C60">
            <w:pPr>
              <w:pStyle w:val="TableText"/>
            </w:pPr>
            <w:r w:rsidRPr="00892569">
              <w:t xml:space="preserve">Moderate (short to medium term) decline or disruption to assets, services and function, &lt;25% of community affected. </w:t>
            </w:r>
          </w:p>
          <w:p w14:paraId="3976395D" w14:textId="77777777" w:rsidR="005E417D" w:rsidRPr="004D02FA" w:rsidRDefault="005E417D" w:rsidP="00301C60">
            <w:pPr>
              <w:pStyle w:val="TableText"/>
            </w:pPr>
            <w:r w:rsidRPr="00892569">
              <w:t>No convenient alternative exists</w:t>
            </w:r>
          </w:p>
        </w:tc>
      </w:tr>
      <w:tr w:rsidR="005E417D" w14:paraId="74AB5E8E" w14:textId="77777777" w:rsidTr="00301C60">
        <w:tc>
          <w:tcPr>
            <w:tcW w:w="1035" w:type="pct"/>
            <w:shd w:val="clear" w:color="auto" w:fill="DCDCDC"/>
          </w:tcPr>
          <w:p w14:paraId="5B52A9A6" w14:textId="77777777" w:rsidR="005E417D" w:rsidRPr="00DD77E3" w:rsidRDefault="005E417D" w:rsidP="00301C60">
            <w:pPr>
              <w:pStyle w:val="TableText"/>
              <w:rPr>
                <w:b/>
                <w:bCs/>
              </w:rPr>
            </w:pPr>
            <w:r w:rsidRPr="00DD77E3">
              <w:rPr>
                <w:b/>
                <w:bCs/>
                <w:color w:val="FFC000"/>
              </w:rPr>
              <w:t>Major</w:t>
            </w:r>
          </w:p>
        </w:tc>
        <w:tc>
          <w:tcPr>
            <w:tcW w:w="1322" w:type="pct"/>
          </w:tcPr>
          <w:p w14:paraId="0D43279D" w14:textId="77777777" w:rsidR="005E417D" w:rsidRPr="004D02FA" w:rsidRDefault="005E417D" w:rsidP="00301C60">
            <w:pPr>
              <w:pStyle w:val="TableText"/>
            </w:pPr>
            <w:r w:rsidRPr="004D02FA">
              <w:t>Significant damage to many assets resulting in very limited capability, financial loss of $</w:t>
            </w:r>
            <w:r>
              <w:t>50,000</w:t>
            </w:r>
            <w:r w:rsidRPr="004D02FA">
              <w:t xml:space="preserve"> to $</w:t>
            </w:r>
            <w:r>
              <w:t>150,000</w:t>
            </w:r>
          </w:p>
        </w:tc>
        <w:tc>
          <w:tcPr>
            <w:tcW w:w="1322" w:type="pct"/>
          </w:tcPr>
          <w:p w14:paraId="6453717F" w14:textId="77777777" w:rsidR="005E417D" w:rsidRDefault="005E417D" w:rsidP="00301C60">
            <w:pPr>
              <w:pStyle w:val="TableText"/>
            </w:pPr>
            <w:r w:rsidRPr="004D02FA">
              <w:t xml:space="preserve">Long-term damage to </w:t>
            </w:r>
            <w:r>
              <w:t>environmental assets</w:t>
            </w:r>
            <w:r w:rsidRPr="004D02FA">
              <w:t>. Limited chance of recovery.</w:t>
            </w:r>
          </w:p>
          <w:p w14:paraId="70360F91" w14:textId="77777777" w:rsidR="005E417D" w:rsidRPr="004D02FA" w:rsidRDefault="005E417D" w:rsidP="00301C60">
            <w:pPr>
              <w:pStyle w:val="TableText"/>
            </w:pPr>
            <w:r w:rsidRPr="00DC3632">
              <w:t xml:space="preserve">No </w:t>
            </w:r>
            <w:r>
              <w:t xml:space="preserve">local </w:t>
            </w:r>
            <w:r w:rsidRPr="00DC3632">
              <w:t>alternate habitat(s) exist.</w:t>
            </w:r>
            <w:r>
              <w:t xml:space="preserve"> Regional habitats exist. Environmental damage requiring restitution or internal clean-up.</w:t>
            </w:r>
          </w:p>
        </w:tc>
        <w:tc>
          <w:tcPr>
            <w:tcW w:w="1320" w:type="pct"/>
          </w:tcPr>
          <w:p w14:paraId="6500263C" w14:textId="77777777" w:rsidR="005E417D" w:rsidRDefault="005E417D" w:rsidP="00301C60">
            <w:pPr>
              <w:pStyle w:val="TableText"/>
            </w:pPr>
            <w:r w:rsidRPr="008346EB">
              <w:t xml:space="preserve">Severe (medium-term) decline or disruption to asset, services and function, &lt;50% of community affected. </w:t>
            </w:r>
          </w:p>
          <w:p w14:paraId="51C7AFAD" w14:textId="77777777" w:rsidR="005E417D" w:rsidRPr="004D02FA" w:rsidRDefault="005E417D" w:rsidP="00301C60">
            <w:pPr>
              <w:pStyle w:val="TableText"/>
            </w:pPr>
            <w:r w:rsidRPr="008346EB">
              <w:t>No convenient alternative exists</w:t>
            </w:r>
          </w:p>
        </w:tc>
      </w:tr>
      <w:tr w:rsidR="005E417D" w14:paraId="0F3D8EC7" w14:textId="77777777" w:rsidTr="00301C60">
        <w:tc>
          <w:tcPr>
            <w:tcW w:w="1035" w:type="pct"/>
            <w:shd w:val="clear" w:color="auto" w:fill="DCDCDC"/>
          </w:tcPr>
          <w:p w14:paraId="6D575E33" w14:textId="77777777" w:rsidR="005E417D" w:rsidRPr="00DD77E3" w:rsidRDefault="005E417D" w:rsidP="00301C60">
            <w:pPr>
              <w:pStyle w:val="TableText"/>
              <w:rPr>
                <w:b/>
                <w:bCs/>
              </w:rPr>
            </w:pPr>
            <w:r>
              <w:rPr>
                <w:b/>
                <w:bCs/>
                <w:color w:val="FF0000"/>
              </w:rPr>
              <w:t>Severe</w:t>
            </w:r>
          </w:p>
        </w:tc>
        <w:tc>
          <w:tcPr>
            <w:tcW w:w="1322" w:type="pct"/>
          </w:tcPr>
          <w:p w14:paraId="4BC5CB07" w14:textId="77777777" w:rsidR="005E417D" w:rsidRPr="004D02FA" w:rsidRDefault="005E417D" w:rsidP="00301C60">
            <w:pPr>
              <w:pStyle w:val="TableText"/>
            </w:pPr>
            <w:r w:rsidRPr="004D02FA">
              <w:t>Significant damage to most assets resulting in loss of capability, financial loss of over $</w:t>
            </w:r>
            <w:r>
              <w:t>150,000</w:t>
            </w:r>
          </w:p>
        </w:tc>
        <w:tc>
          <w:tcPr>
            <w:tcW w:w="1322" w:type="pct"/>
          </w:tcPr>
          <w:p w14:paraId="7E0AB929" w14:textId="77777777" w:rsidR="005E417D" w:rsidRDefault="005E417D" w:rsidP="00301C60">
            <w:pPr>
              <w:pStyle w:val="TableText"/>
            </w:pPr>
            <w:r w:rsidRPr="004D02FA">
              <w:t xml:space="preserve">Permanent damage to </w:t>
            </w:r>
            <w:r>
              <w:t>environmental assets</w:t>
            </w:r>
            <w:r w:rsidRPr="004D02FA">
              <w:t>. No chance of recovery</w:t>
            </w:r>
            <w:r>
              <w:t>.</w:t>
            </w:r>
          </w:p>
          <w:p w14:paraId="7C6E5021" w14:textId="77777777" w:rsidR="005E417D" w:rsidRPr="00D1796F" w:rsidRDefault="005E417D" w:rsidP="00301C60">
            <w:pPr>
              <w:pStyle w:val="TableText"/>
              <w:rPr>
                <w:lang w:val="pt-BR"/>
              </w:rPr>
            </w:pPr>
            <w:r w:rsidRPr="00D1796F">
              <w:rPr>
                <w:lang w:val="pt-BR"/>
              </w:rPr>
              <w:t>No alternate habitat(s) exist.</w:t>
            </w:r>
            <w:r>
              <w:t xml:space="preserve"> Major breach of legislation or extensive environmental damage requiring third party investigation</w:t>
            </w:r>
          </w:p>
        </w:tc>
        <w:tc>
          <w:tcPr>
            <w:tcW w:w="1320" w:type="pct"/>
          </w:tcPr>
          <w:p w14:paraId="2F04F41B" w14:textId="77777777" w:rsidR="005E417D" w:rsidRDefault="005E417D" w:rsidP="00301C60">
            <w:pPr>
              <w:pStyle w:val="TableText"/>
            </w:pPr>
            <w:r w:rsidRPr="00AC334E">
              <w:t xml:space="preserve">Long term or permanent loss of asset, services and function &gt;75% of community affected. </w:t>
            </w:r>
          </w:p>
          <w:p w14:paraId="6C157BDC" w14:textId="77777777" w:rsidR="005E417D" w:rsidRPr="004D02FA" w:rsidRDefault="005E417D" w:rsidP="00301C60">
            <w:pPr>
              <w:pStyle w:val="TableText"/>
            </w:pPr>
            <w:r w:rsidRPr="00AC334E">
              <w:t>No alternative exists</w:t>
            </w:r>
          </w:p>
        </w:tc>
      </w:tr>
    </w:tbl>
    <w:p w14:paraId="5F1F88EB" w14:textId="77777777" w:rsidR="00CD4C64" w:rsidRDefault="00CD4C64" w:rsidP="00CD4C64">
      <w:pPr>
        <w:pStyle w:val="Heading2"/>
        <w:numPr>
          <w:ilvl w:val="1"/>
          <w:numId w:val="14"/>
        </w:numPr>
      </w:pPr>
      <w:bookmarkStart w:id="119" w:name="_Toc86921820"/>
      <w:bookmarkStart w:id="120" w:name="_Toc107582239"/>
      <w:bookmarkStart w:id="121" w:name="_Toc152578226"/>
      <w:bookmarkStart w:id="122" w:name="_Toc164420878"/>
      <w:r>
        <w:t>Potential Impact (Level of Risk)</w:t>
      </w:r>
      <w:bookmarkEnd w:id="119"/>
      <w:bookmarkEnd w:id="120"/>
      <w:bookmarkEnd w:id="121"/>
      <w:bookmarkEnd w:id="122"/>
    </w:p>
    <w:p w14:paraId="57D48546" w14:textId="664E2430" w:rsidR="00CD4C64" w:rsidRDefault="00CD4C64" w:rsidP="00CD4C64">
      <w:pPr>
        <w:pStyle w:val="BodyText"/>
      </w:pPr>
      <w:r>
        <w:t xml:space="preserve">Risk level, or </w:t>
      </w:r>
      <w:r w:rsidRPr="00FC4C38">
        <w:rPr>
          <w:rStyle w:val="Emphasis"/>
        </w:rPr>
        <w:t>potential impact</w:t>
      </w:r>
      <w:r>
        <w:t xml:space="preserve">, is calculated as the </w:t>
      </w:r>
      <w:r w:rsidRPr="00FC4C38">
        <w:rPr>
          <w:bCs/>
          <w:color w:val="FF0000"/>
        </w:rPr>
        <w:t>product</w:t>
      </w:r>
      <w:r>
        <w:t xml:space="preserve"> of exposure and sensitivity (see </w:t>
      </w:r>
      <w:r>
        <w:fldChar w:fldCharType="begin"/>
      </w:r>
      <w:r>
        <w:instrText xml:space="preserve"> REF _Ref83136780 \h </w:instrText>
      </w:r>
      <w:r>
        <w:fldChar w:fldCharType="separate"/>
      </w:r>
      <w:r w:rsidR="00594B04">
        <w:t>Table </w:t>
      </w:r>
      <w:r w:rsidR="00594B04">
        <w:rPr>
          <w:noProof/>
        </w:rPr>
        <w:t>5</w:t>
      </w:r>
      <w:r w:rsidR="00594B04">
        <w:noBreakHyphen/>
      </w:r>
      <w:r w:rsidR="00594B04">
        <w:rPr>
          <w:noProof/>
        </w:rPr>
        <w:t>3</w:t>
      </w:r>
      <w:r>
        <w:fldChar w:fldCharType="end"/>
      </w:r>
      <w:r>
        <w:t xml:space="preserve">). It provides a classification of the potential impact of coastal hazards on identified assets, which was determined for each project timeframe. Definitions are provided in </w:t>
      </w:r>
      <w:r w:rsidR="004E5FAC">
        <w:fldChar w:fldCharType="begin"/>
      </w:r>
      <w:r w:rsidR="004E5FAC">
        <w:instrText xml:space="preserve"> REF _Ref164239777 \h </w:instrText>
      </w:r>
      <w:r w:rsidR="004E5FAC">
        <w:fldChar w:fldCharType="separate"/>
      </w:r>
      <w:r w:rsidR="004E5FAC" w:rsidRPr="00A23E57">
        <w:t xml:space="preserve">Table </w:t>
      </w:r>
      <w:r w:rsidR="004E5FAC">
        <w:rPr>
          <w:noProof/>
        </w:rPr>
        <w:t>5</w:t>
      </w:r>
      <w:r w:rsidR="004E5FAC">
        <w:noBreakHyphen/>
      </w:r>
      <w:r w:rsidR="004E5FAC">
        <w:rPr>
          <w:noProof/>
        </w:rPr>
        <w:t>4</w:t>
      </w:r>
      <w:r w:rsidR="004E5FAC">
        <w:fldChar w:fldCharType="end"/>
      </w:r>
      <w:r w:rsidR="004E5FAC">
        <w:t>.</w:t>
      </w:r>
    </w:p>
    <w:p w14:paraId="4B083187" w14:textId="58E388F2" w:rsidR="005E417D" w:rsidRDefault="005E417D" w:rsidP="005E417D">
      <w:pPr>
        <w:pStyle w:val="TableCaption"/>
      </w:pPr>
      <w:bookmarkStart w:id="123" w:name="_Ref83136780"/>
      <w:bookmarkStart w:id="124" w:name="_Toc86921888"/>
      <w:bookmarkStart w:id="125" w:name="_Toc107582217"/>
      <w:bookmarkStart w:id="126" w:name="_Toc127990250"/>
      <w:bookmarkStart w:id="127" w:name="_Toc164411277"/>
      <w:bookmarkStart w:id="128" w:name="_Ref520466636"/>
      <w:bookmarkStart w:id="129" w:name="_Toc523386243"/>
      <w:bookmarkStart w:id="130" w:name="_Toc86921889"/>
      <w:bookmarkStart w:id="131" w:name="_Toc107582218"/>
      <w:bookmarkStart w:id="132" w:name="_Toc152578341"/>
      <w:r>
        <w:t>Table </w:t>
      </w:r>
      <w:r w:rsidR="008647EF">
        <w:fldChar w:fldCharType="begin"/>
      </w:r>
      <w:r w:rsidR="008647EF">
        <w:instrText xml:space="preserve"> STYLEREF 1 \s </w:instrText>
      </w:r>
      <w:r w:rsidR="008647EF">
        <w:fldChar w:fldCharType="separate"/>
      </w:r>
      <w:r w:rsidR="008647EF">
        <w:rPr>
          <w:noProof/>
        </w:rPr>
        <w:t>5</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3</w:t>
      </w:r>
      <w:r w:rsidR="008647EF">
        <w:fldChar w:fldCharType="end"/>
      </w:r>
      <w:bookmarkEnd w:id="123"/>
      <w:r>
        <w:tab/>
        <w:t>Risk Level (Potential Impact) Matrix as Product of Sensitivity (Consequence) and Exposure (Likelihood)</w:t>
      </w:r>
      <w:bookmarkEnd w:id="124"/>
      <w:bookmarkEnd w:id="125"/>
      <w:bookmarkEnd w:id="126"/>
      <w:bookmarkEnd w:id="127"/>
    </w:p>
    <w:tbl>
      <w:tblPr>
        <w:tblStyle w:val="BlueTable"/>
        <w:tblW w:w="5000" w:type="pct"/>
        <w:tblLayout w:type="fixed"/>
        <w:tblLook w:val="0620" w:firstRow="1" w:lastRow="0" w:firstColumn="0" w:lastColumn="0" w:noHBand="1" w:noVBand="1"/>
      </w:tblPr>
      <w:tblGrid>
        <w:gridCol w:w="1696"/>
        <w:gridCol w:w="1418"/>
        <w:gridCol w:w="1559"/>
        <w:gridCol w:w="1559"/>
        <w:gridCol w:w="1418"/>
        <w:gridCol w:w="1978"/>
      </w:tblGrid>
      <w:tr w:rsidR="005E417D" w:rsidRPr="00B54901" w14:paraId="7D819D3D" w14:textId="77777777" w:rsidTr="00301C60">
        <w:trPr>
          <w:cnfStyle w:val="100000000000" w:firstRow="1" w:lastRow="0" w:firstColumn="0" w:lastColumn="0" w:oddVBand="0" w:evenVBand="0" w:oddHBand="0" w:evenHBand="0" w:firstRowFirstColumn="0" w:firstRowLastColumn="0" w:lastRowFirstColumn="0" w:lastRowLastColumn="0"/>
        </w:trPr>
        <w:tc>
          <w:tcPr>
            <w:tcW w:w="1696" w:type="dxa"/>
            <w:vMerge w:val="restart"/>
            <w:noWrap/>
            <w:hideMark/>
          </w:tcPr>
          <w:p w14:paraId="1460E34F" w14:textId="77777777" w:rsidR="005E417D" w:rsidRPr="00B54901" w:rsidRDefault="005E417D" w:rsidP="00301C60">
            <w:pPr>
              <w:pStyle w:val="TableHeading"/>
              <w:rPr>
                <w:rFonts w:eastAsia="Times New Roman"/>
                <w:lang w:eastAsia="en-AU"/>
              </w:rPr>
            </w:pPr>
            <w:r w:rsidRPr="00B54901">
              <w:rPr>
                <w:rFonts w:eastAsia="Times New Roman"/>
                <w:lang w:eastAsia="en-AU"/>
              </w:rPr>
              <w:t>Sensitivity</w:t>
            </w:r>
            <w:r>
              <w:rPr>
                <w:rFonts w:eastAsia="Times New Roman"/>
                <w:lang w:eastAsia="en-AU"/>
              </w:rPr>
              <w:t xml:space="preserve"> / Consequence</w:t>
            </w:r>
          </w:p>
        </w:tc>
        <w:tc>
          <w:tcPr>
            <w:tcW w:w="7932" w:type="dxa"/>
            <w:gridSpan w:val="5"/>
            <w:noWrap/>
            <w:hideMark/>
          </w:tcPr>
          <w:p w14:paraId="63FD0A50" w14:textId="77777777" w:rsidR="005E417D" w:rsidRPr="00B54901" w:rsidRDefault="005E417D" w:rsidP="00301C60">
            <w:pPr>
              <w:pStyle w:val="TableHeading"/>
              <w:jc w:val="center"/>
              <w:rPr>
                <w:rFonts w:eastAsia="Times New Roman"/>
                <w:lang w:eastAsia="en-AU"/>
              </w:rPr>
            </w:pPr>
            <w:r w:rsidRPr="00B54901">
              <w:rPr>
                <w:rFonts w:eastAsia="Times New Roman"/>
                <w:lang w:eastAsia="en-AU"/>
              </w:rPr>
              <w:t>Exposure</w:t>
            </w:r>
            <w:r>
              <w:rPr>
                <w:rFonts w:eastAsia="Times New Roman"/>
                <w:lang w:eastAsia="en-AU"/>
              </w:rPr>
              <w:t xml:space="preserve"> / Likelihood</w:t>
            </w:r>
          </w:p>
        </w:tc>
      </w:tr>
      <w:tr w:rsidR="005E417D" w:rsidRPr="00B54901" w14:paraId="10181757" w14:textId="77777777" w:rsidTr="00301C60">
        <w:tc>
          <w:tcPr>
            <w:tcW w:w="1696" w:type="dxa"/>
            <w:vMerge/>
            <w:shd w:val="clear" w:color="auto" w:fill="BCE9FE" w:themeFill="accent1" w:themeFillTint="33"/>
            <w:noWrap/>
          </w:tcPr>
          <w:p w14:paraId="707A28DD" w14:textId="77777777" w:rsidR="005E417D" w:rsidRPr="00B54901" w:rsidRDefault="005E417D" w:rsidP="00301C60">
            <w:pPr>
              <w:pStyle w:val="TableHeading"/>
              <w:rPr>
                <w:rFonts w:eastAsia="Times New Roman"/>
                <w:lang w:eastAsia="en-AU"/>
              </w:rPr>
            </w:pPr>
          </w:p>
        </w:tc>
        <w:tc>
          <w:tcPr>
            <w:tcW w:w="1418" w:type="dxa"/>
            <w:shd w:val="clear" w:color="auto" w:fill="BCE9FE" w:themeFill="accent1" w:themeFillTint="33"/>
            <w:noWrap/>
          </w:tcPr>
          <w:p w14:paraId="197EA24B" w14:textId="77777777" w:rsidR="005E417D" w:rsidRPr="00EE3D56" w:rsidRDefault="005E417D" w:rsidP="00301C60">
            <w:pPr>
              <w:pStyle w:val="TableHeading"/>
              <w:jc w:val="center"/>
              <w:rPr>
                <w:rFonts w:eastAsia="Times New Roman"/>
                <w:lang w:eastAsia="en-AU"/>
              </w:rPr>
            </w:pPr>
            <w:r w:rsidRPr="00EE3D56">
              <w:rPr>
                <w:rFonts w:eastAsia="Times New Roman"/>
                <w:lang w:eastAsia="en-AU"/>
              </w:rPr>
              <w:t>Rare</w:t>
            </w:r>
          </w:p>
        </w:tc>
        <w:tc>
          <w:tcPr>
            <w:tcW w:w="1559" w:type="dxa"/>
            <w:shd w:val="clear" w:color="auto" w:fill="BCE9FE" w:themeFill="accent1" w:themeFillTint="33"/>
          </w:tcPr>
          <w:p w14:paraId="2A24E267" w14:textId="77777777" w:rsidR="005E417D" w:rsidRPr="00EE3D56" w:rsidRDefault="005E417D" w:rsidP="00301C60">
            <w:pPr>
              <w:pStyle w:val="TableHeading"/>
              <w:jc w:val="center"/>
              <w:rPr>
                <w:rFonts w:eastAsia="Times New Roman"/>
                <w:lang w:eastAsia="en-AU"/>
              </w:rPr>
            </w:pPr>
            <w:r w:rsidRPr="00EE3D56">
              <w:rPr>
                <w:rFonts w:eastAsia="Times New Roman"/>
                <w:lang w:eastAsia="en-AU"/>
              </w:rPr>
              <w:t>Unlikely</w:t>
            </w:r>
          </w:p>
        </w:tc>
        <w:tc>
          <w:tcPr>
            <w:tcW w:w="1559" w:type="dxa"/>
            <w:shd w:val="clear" w:color="auto" w:fill="BCE9FE" w:themeFill="accent1" w:themeFillTint="33"/>
          </w:tcPr>
          <w:p w14:paraId="640E4403" w14:textId="77777777" w:rsidR="005E417D" w:rsidRPr="00EE3D56" w:rsidRDefault="005E417D" w:rsidP="00301C60">
            <w:pPr>
              <w:pStyle w:val="TableHeading"/>
              <w:jc w:val="center"/>
              <w:rPr>
                <w:rFonts w:eastAsia="Times New Roman"/>
                <w:lang w:eastAsia="en-AU"/>
              </w:rPr>
            </w:pPr>
            <w:r w:rsidRPr="00EE3D56">
              <w:rPr>
                <w:rFonts w:eastAsia="Times New Roman"/>
                <w:lang w:eastAsia="en-AU"/>
              </w:rPr>
              <w:t>Possible</w:t>
            </w:r>
          </w:p>
        </w:tc>
        <w:tc>
          <w:tcPr>
            <w:tcW w:w="1418" w:type="dxa"/>
            <w:shd w:val="clear" w:color="auto" w:fill="BCE9FE" w:themeFill="accent1" w:themeFillTint="33"/>
          </w:tcPr>
          <w:p w14:paraId="12540295" w14:textId="77777777" w:rsidR="005E417D" w:rsidRPr="00EE3D56" w:rsidRDefault="005E417D" w:rsidP="00301C60">
            <w:pPr>
              <w:pStyle w:val="TableHeading"/>
              <w:jc w:val="center"/>
              <w:rPr>
                <w:rFonts w:eastAsia="Times New Roman"/>
                <w:lang w:eastAsia="en-AU"/>
              </w:rPr>
            </w:pPr>
            <w:r w:rsidRPr="00EE3D56">
              <w:rPr>
                <w:rFonts w:eastAsia="Times New Roman"/>
                <w:lang w:eastAsia="en-AU"/>
              </w:rPr>
              <w:t>Likely</w:t>
            </w:r>
          </w:p>
        </w:tc>
        <w:tc>
          <w:tcPr>
            <w:tcW w:w="1978" w:type="dxa"/>
            <w:shd w:val="clear" w:color="auto" w:fill="BCE9FE" w:themeFill="accent1" w:themeFillTint="33"/>
          </w:tcPr>
          <w:p w14:paraId="3BF3B94A" w14:textId="77777777" w:rsidR="005E417D" w:rsidRPr="00EE3D56" w:rsidRDefault="005E417D" w:rsidP="00301C60">
            <w:pPr>
              <w:pStyle w:val="TableHeading"/>
              <w:jc w:val="center"/>
              <w:rPr>
                <w:rFonts w:eastAsia="Times New Roman"/>
                <w:lang w:eastAsia="en-AU"/>
              </w:rPr>
            </w:pPr>
            <w:r w:rsidRPr="00EE3D56">
              <w:rPr>
                <w:rFonts w:eastAsia="Times New Roman"/>
                <w:lang w:eastAsia="en-AU"/>
              </w:rPr>
              <w:t>Almost Certain</w:t>
            </w:r>
          </w:p>
        </w:tc>
      </w:tr>
      <w:tr w:rsidR="005E417D" w:rsidRPr="00B54901" w14:paraId="51536B16" w14:textId="77777777" w:rsidTr="00301C60">
        <w:tc>
          <w:tcPr>
            <w:tcW w:w="1696" w:type="dxa"/>
            <w:shd w:val="clear" w:color="auto" w:fill="BCE9FE" w:themeFill="accent1" w:themeFillTint="33"/>
            <w:noWrap/>
            <w:hideMark/>
          </w:tcPr>
          <w:p w14:paraId="074414B7" w14:textId="77777777" w:rsidR="005E417D" w:rsidRPr="00EE3D56" w:rsidRDefault="005E417D" w:rsidP="00301C60">
            <w:pPr>
              <w:pStyle w:val="TableText"/>
              <w:rPr>
                <w:rFonts w:eastAsia="Times New Roman"/>
                <w:b/>
                <w:bCs/>
                <w:lang w:eastAsia="en-AU"/>
              </w:rPr>
            </w:pPr>
            <w:r>
              <w:rPr>
                <w:rFonts w:eastAsia="Times New Roman"/>
                <w:b/>
                <w:bCs/>
                <w:lang w:eastAsia="en-AU"/>
              </w:rPr>
              <w:t>Severe</w:t>
            </w:r>
          </w:p>
        </w:tc>
        <w:tc>
          <w:tcPr>
            <w:tcW w:w="1418" w:type="dxa"/>
            <w:shd w:val="clear" w:color="auto" w:fill="DCDCDC"/>
            <w:noWrap/>
            <w:hideMark/>
          </w:tcPr>
          <w:p w14:paraId="59DB551F" w14:textId="77777777" w:rsidR="005E417D" w:rsidRPr="009B335B" w:rsidRDefault="005E417D" w:rsidP="00301C60">
            <w:pPr>
              <w:pStyle w:val="TableText"/>
              <w:jc w:val="center"/>
              <w:rPr>
                <w:rFonts w:eastAsia="Times New Roman"/>
                <w:b/>
                <w:bCs/>
                <w:lang w:eastAsia="en-AU"/>
              </w:rPr>
            </w:pPr>
            <w:r>
              <w:rPr>
                <w:rFonts w:eastAsia="Times New Roman"/>
                <w:b/>
                <w:bCs/>
                <w:color w:val="FFFF00"/>
                <w:lang w:eastAsia="en-AU"/>
              </w:rPr>
              <w:t>M</w:t>
            </w:r>
            <w:r w:rsidRPr="009B335B">
              <w:rPr>
                <w:rFonts w:eastAsia="Times New Roman"/>
                <w:b/>
                <w:bCs/>
                <w:color w:val="FFFF00"/>
                <w:lang w:eastAsia="en-AU"/>
              </w:rPr>
              <w:t>edium</w:t>
            </w:r>
          </w:p>
        </w:tc>
        <w:tc>
          <w:tcPr>
            <w:tcW w:w="1559" w:type="dxa"/>
            <w:shd w:val="clear" w:color="auto" w:fill="DCDCDC"/>
            <w:noWrap/>
            <w:hideMark/>
          </w:tcPr>
          <w:p w14:paraId="4E5D5948" w14:textId="77777777" w:rsidR="005E417D" w:rsidRPr="009B335B" w:rsidRDefault="005E417D" w:rsidP="00301C60">
            <w:pPr>
              <w:pStyle w:val="TableText"/>
              <w:jc w:val="center"/>
              <w:rPr>
                <w:rFonts w:eastAsia="Times New Roman"/>
                <w:b/>
                <w:bCs/>
                <w:color w:val="FF0000"/>
                <w:lang w:eastAsia="en-AU"/>
              </w:rPr>
            </w:pPr>
            <w:r>
              <w:rPr>
                <w:rFonts w:eastAsia="Times New Roman"/>
                <w:b/>
                <w:bCs/>
                <w:color w:val="FFC000"/>
                <w:lang w:eastAsia="en-AU"/>
              </w:rPr>
              <w:t>H</w:t>
            </w:r>
            <w:r w:rsidRPr="009B335B">
              <w:rPr>
                <w:rFonts w:eastAsia="Times New Roman"/>
                <w:b/>
                <w:bCs/>
                <w:color w:val="FFC000"/>
                <w:lang w:eastAsia="en-AU"/>
              </w:rPr>
              <w:t>igh</w:t>
            </w:r>
          </w:p>
        </w:tc>
        <w:tc>
          <w:tcPr>
            <w:tcW w:w="1559" w:type="dxa"/>
            <w:shd w:val="clear" w:color="auto" w:fill="DCDCDC"/>
            <w:noWrap/>
            <w:hideMark/>
          </w:tcPr>
          <w:p w14:paraId="6E3702E2" w14:textId="77777777" w:rsidR="005E417D" w:rsidRPr="009B335B" w:rsidRDefault="005E417D" w:rsidP="00301C60">
            <w:pPr>
              <w:pStyle w:val="TableText"/>
              <w:jc w:val="center"/>
              <w:rPr>
                <w:rFonts w:eastAsia="Times New Roman"/>
                <w:b/>
                <w:bCs/>
                <w:color w:val="FF0000"/>
                <w:lang w:eastAsia="en-AU"/>
              </w:rPr>
            </w:pPr>
            <w:r>
              <w:rPr>
                <w:rFonts w:eastAsia="Times New Roman"/>
                <w:b/>
                <w:bCs/>
                <w:color w:val="FF0000"/>
                <w:lang w:eastAsia="en-AU"/>
              </w:rPr>
              <w:t>E</w:t>
            </w:r>
            <w:r w:rsidRPr="009B335B">
              <w:rPr>
                <w:rFonts w:eastAsia="Times New Roman"/>
                <w:b/>
                <w:bCs/>
                <w:color w:val="FF0000"/>
                <w:lang w:eastAsia="en-AU"/>
              </w:rPr>
              <w:t>xtreme</w:t>
            </w:r>
          </w:p>
        </w:tc>
        <w:tc>
          <w:tcPr>
            <w:tcW w:w="1418" w:type="dxa"/>
            <w:shd w:val="clear" w:color="auto" w:fill="DCDCDC"/>
            <w:noWrap/>
            <w:hideMark/>
          </w:tcPr>
          <w:p w14:paraId="4F768F3D" w14:textId="77777777" w:rsidR="005E417D" w:rsidRPr="009B335B" w:rsidRDefault="005E417D" w:rsidP="00301C60">
            <w:pPr>
              <w:pStyle w:val="TableText"/>
              <w:jc w:val="center"/>
              <w:rPr>
                <w:rFonts w:eastAsia="Times New Roman"/>
                <w:b/>
                <w:bCs/>
                <w:color w:val="FF0000"/>
                <w:lang w:eastAsia="en-AU"/>
              </w:rPr>
            </w:pPr>
            <w:r>
              <w:rPr>
                <w:rFonts w:eastAsia="Times New Roman"/>
                <w:b/>
                <w:bCs/>
                <w:color w:val="FF0000"/>
                <w:lang w:eastAsia="en-AU"/>
              </w:rPr>
              <w:t>E</w:t>
            </w:r>
            <w:r w:rsidRPr="009B335B">
              <w:rPr>
                <w:rFonts w:eastAsia="Times New Roman"/>
                <w:b/>
                <w:bCs/>
                <w:color w:val="FF0000"/>
                <w:lang w:eastAsia="en-AU"/>
              </w:rPr>
              <w:t>xtreme</w:t>
            </w:r>
          </w:p>
        </w:tc>
        <w:tc>
          <w:tcPr>
            <w:tcW w:w="1978" w:type="dxa"/>
            <w:shd w:val="clear" w:color="auto" w:fill="DCDCDC"/>
            <w:noWrap/>
            <w:hideMark/>
          </w:tcPr>
          <w:p w14:paraId="1261E9CF" w14:textId="77777777" w:rsidR="005E417D" w:rsidRPr="009B335B" w:rsidRDefault="005E417D" w:rsidP="00301C60">
            <w:pPr>
              <w:pStyle w:val="TableText"/>
              <w:jc w:val="center"/>
              <w:rPr>
                <w:rFonts w:eastAsia="Times New Roman"/>
                <w:b/>
                <w:bCs/>
                <w:color w:val="FF0000"/>
                <w:lang w:eastAsia="en-AU"/>
              </w:rPr>
            </w:pPr>
            <w:r>
              <w:rPr>
                <w:rFonts w:eastAsia="Times New Roman"/>
                <w:b/>
                <w:bCs/>
                <w:color w:val="FF0000"/>
                <w:lang w:eastAsia="en-AU"/>
              </w:rPr>
              <w:t>E</w:t>
            </w:r>
            <w:r w:rsidRPr="009B335B">
              <w:rPr>
                <w:rFonts w:eastAsia="Times New Roman"/>
                <w:b/>
                <w:bCs/>
                <w:color w:val="FF0000"/>
                <w:lang w:eastAsia="en-AU"/>
              </w:rPr>
              <w:t>xtreme</w:t>
            </w:r>
          </w:p>
        </w:tc>
      </w:tr>
      <w:tr w:rsidR="005E417D" w:rsidRPr="00B54901" w14:paraId="472808B4" w14:textId="77777777" w:rsidTr="00301C60">
        <w:tc>
          <w:tcPr>
            <w:tcW w:w="1696" w:type="dxa"/>
            <w:shd w:val="clear" w:color="auto" w:fill="BCE9FE" w:themeFill="accent1" w:themeFillTint="33"/>
            <w:noWrap/>
            <w:hideMark/>
          </w:tcPr>
          <w:p w14:paraId="08401060" w14:textId="77777777" w:rsidR="005E417D" w:rsidRPr="00EE3D56" w:rsidRDefault="005E417D" w:rsidP="00301C60">
            <w:pPr>
              <w:pStyle w:val="TableText"/>
              <w:rPr>
                <w:rFonts w:eastAsia="Times New Roman"/>
                <w:b/>
                <w:bCs/>
                <w:lang w:eastAsia="en-AU"/>
              </w:rPr>
            </w:pPr>
            <w:r w:rsidRPr="00EE3D56">
              <w:rPr>
                <w:rFonts w:eastAsia="Times New Roman"/>
                <w:b/>
                <w:bCs/>
                <w:lang w:eastAsia="en-AU"/>
              </w:rPr>
              <w:t>Major</w:t>
            </w:r>
          </w:p>
        </w:tc>
        <w:tc>
          <w:tcPr>
            <w:tcW w:w="1418" w:type="dxa"/>
            <w:shd w:val="clear" w:color="auto" w:fill="DCDCDC"/>
            <w:noWrap/>
            <w:hideMark/>
          </w:tcPr>
          <w:p w14:paraId="1CC0DD23" w14:textId="77777777" w:rsidR="005E417D" w:rsidRPr="009B335B" w:rsidRDefault="005E417D" w:rsidP="00301C60">
            <w:pPr>
              <w:pStyle w:val="TableText"/>
              <w:jc w:val="center"/>
              <w:rPr>
                <w:rFonts w:eastAsia="Times New Roman"/>
                <w:b/>
                <w:bCs/>
                <w:color w:val="FFC000"/>
                <w:lang w:eastAsia="en-AU"/>
              </w:rPr>
            </w:pPr>
            <w:r>
              <w:rPr>
                <w:rFonts w:eastAsia="Times New Roman"/>
                <w:b/>
                <w:bCs/>
                <w:color w:val="FFFF00"/>
                <w:lang w:eastAsia="en-AU"/>
              </w:rPr>
              <w:t>M</w:t>
            </w:r>
            <w:r w:rsidRPr="009B335B">
              <w:rPr>
                <w:rFonts w:eastAsia="Times New Roman"/>
                <w:b/>
                <w:bCs/>
                <w:color w:val="FFFF00"/>
                <w:lang w:eastAsia="en-AU"/>
              </w:rPr>
              <w:t>edium</w:t>
            </w:r>
          </w:p>
        </w:tc>
        <w:tc>
          <w:tcPr>
            <w:tcW w:w="1559" w:type="dxa"/>
            <w:shd w:val="clear" w:color="auto" w:fill="DCDCDC"/>
            <w:noWrap/>
            <w:hideMark/>
          </w:tcPr>
          <w:p w14:paraId="2DF04C47" w14:textId="77777777" w:rsidR="005E417D" w:rsidRPr="009B335B" w:rsidRDefault="005E417D" w:rsidP="00301C60">
            <w:pPr>
              <w:pStyle w:val="TableText"/>
              <w:jc w:val="center"/>
              <w:rPr>
                <w:rFonts w:eastAsia="Times New Roman"/>
                <w:b/>
                <w:bCs/>
                <w:color w:val="FFC000"/>
                <w:lang w:eastAsia="en-AU"/>
              </w:rPr>
            </w:pPr>
            <w:r>
              <w:rPr>
                <w:rFonts w:eastAsia="Times New Roman"/>
                <w:b/>
                <w:bCs/>
                <w:color w:val="FFFF00"/>
                <w:lang w:eastAsia="en-AU"/>
              </w:rPr>
              <w:t>M</w:t>
            </w:r>
            <w:r w:rsidRPr="009B335B">
              <w:rPr>
                <w:rFonts w:eastAsia="Times New Roman"/>
                <w:b/>
                <w:bCs/>
                <w:color w:val="FFFF00"/>
                <w:lang w:eastAsia="en-AU"/>
              </w:rPr>
              <w:t>edium</w:t>
            </w:r>
          </w:p>
        </w:tc>
        <w:tc>
          <w:tcPr>
            <w:tcW w:w="1559" w:type="dxa"/>
            <w:shd w:val="clear" w:color="auto" w:fill="DCDCDC"/>
            <w:noWrap/>
            <w:hideMark/>
          </w:tcPr>
          <w:p w14:paraId="76AAFAFC" w14:textId="77777777" w:rsidR="005E417D" w:rsidRPr="009B335B" w:rsidRDefault="005E417D" w:rsidP="00301C60">
            <w:pPr>
              <w:pStyle w:val="TableText"/>
              <w:jc w:val="center"/>
              <w:rPr>
                <w:rFonts w:eastAsia="Times New Roman"/>
                <w:b/>
                <w:bCs/>
                <w:color w:val="FF0000"/>
                <w:lang w:eastAsia="en-AU"/>
              </w:rPr>
            </w:pPr>
            <w:r>
              <w:rPr>
                <w:rFonts w:eastAsia="Times New Roman"/>
                <w:b/>
                <w:bCs/>
                <w:color w:val="FFC000"/>
                <w:lang w:eastAsia="en-AU"/>
              </w:rPr>
              <w:t>H</w:t>
            </w:r>
            <w:r w:rsidRPr="009B335B">
              <w:rPr>
                <w:rFonts w:eastAsia="Times New Roman"/>
                <w:b/>
                <w:bCs/>
                <w:color w:val="FFC000"/>
                <w:lang w:eastAsia="en-AU"/>
              </w:rPr>
              <w:t>igh</w:t>
            </w:r>
          </w:p>
        </w:tc>
        <w:tc>
          <w:tcPr>
            <w:tcW w:w="1418" w:type="dxa"/>
            <w:shd w:val="clear" w:color="auto" w:fill="DCDCDC"/>
            <w:noWrap/>
            <w:hideMark/>
          </w:tcPr>
          <w:p w14:paraId="186B826C" w14:textId="77777777" w:rsidR="005E417D" w:rsidRPr="009B335B" w:rsidRDefault="005E417D" w:rsidP="00301C60">
            <w:pPr>
              <w:pStyle w:val="TableText"/>
              <w:jc w:val="center"/>
              <w:rPr>
                <w:rFonts w:eastAsia="Times New Roman"/>
                <w:b/>
                <w:bCs/>
                <w:color w:val="FF0000"/>
                <w:lang w:eastAsia="en-AU"/>
              </w:rPr>
            </w:pPr>
            <w:r>
              <w:rPr>
                <w:rFonts w:eastAsia="Times New Roman"/>
                <w:b/>
                <w:bCs/>
                <w:color w:val="FF0000"/>
                <w:lang w:eastAsia="en-AU"/>
              </w:rPr>
              <w:t>E</w:t>
            </w:r>
            <w:r w:rsidRPr="009B335B">
              <w:rPr>
                <w:rFonts w:eastAsia="Times New Roman"/>
                <w:b/>
                <w:bCs/>
                <w:color w:val="FF0000"/>
                <w:lang w:eastAsia="en-AU"/>
              </w:rPr>
              <w:t>xtreme</w:t>
            </w:r>
          </w:p>
        </w:tc>
        <w:tc>
          <w:tcPr>
            <w:tcW w:w="1978" w:type="dxa"/>
            <w:shd w:val="clear" w:color="auto" w:fill="DCDCDC"/>
            <w:noWrap/>
            <w:hideMark/>
          </w:tcPr>
          <w:p w14:paraId="6F7719DC" w14:textId="77777777" w:rsidR="005E417D" w:rsidRPr="009B335B" w:rsidRDefault="005E417D" w:rsidP="00301C60">
            <w:pPr>
              <w:pStyle w:val="TableText"/>
              <w:jc w:val="center"/>
              <w:rPr>
                <w:rFonts w:eastAsia="Times New Roman"/>
                <w:b/>
                <w:bCs/>
                <w:color w:val="FF0000"/>
                <w:lang w:eastAsia="en-AU"/>
              </w:rPr>
            </w:pPr>
            <w:r>
              <w:rPr>
                <w:rFonts w:eastAsia="Times New Roman"/>
                <w:b/>
                <w:bCs/>
                <w:color w:val="FF0000"/>
                <w:lang w:eastAsia="en-AU"/>
              </w:rPr>
              <w:t>E</w:t>
            </w:r>
            <w:r w:rsidRPr="009B335B">
              <w:rPr>
                <w:rFonts w:eastAsia="Times New Roman"/>
                <w:b/>
                <w:bCs/>
                <w:color w:val="FF0000"/>
                <w:lang w:eastAsia="en-AU"/>
              </w:rPr>
              <w:t>xtreme</w:t>
            </w:r>
          </w:p>
        </w:tc>
      </w:tr>
      <w:tr w:rsidR="005E417D" w:rsidRPr="00B54901" w14:paraId="6FA95D90" w14:textId="77777777" w:rsidTr="00301C60">
        <w:tc>
          <w:tcPr>
            <w:tcW w:w="1696" w:type="dxa"/>
            <w:shd w:val="clear" w:color="auto" w:fill="BCE9FE" w:themeFill="accent1" w:themeFillTint="33"/>
            <w:noWrap/>
            <w:hideMark/>
          </w:tcPr>
          <w:p w14:paraId="65E2BDED" w14:textId="77777777" w:rsidR="005E417D" w:rsidRPr="00EE3D56" w:rsidRDefault="005E417D" w:rsidP="00301C60">
            <w:pPr>
              <w:pStyle w:val="TableText"/>
              <w:rPr>
                <w:rFonts w:eastAsia="Times New Roman"/>
                <w:b/>
                <w:bCs/>
                <w:lang w:eastAsia="en-AU"/>
              </w:rPr>
            </w:pPr>
            <w:r w:rsidRPr="00EE3D56">
              <w:rPr>
                <w:rFonts w:eastAsia="Times New Roman"/>
                <w:b/>
                <w:bCs/>
                <w:lang w:eastAsia="en-AU"/>
              </w:rPr>
              <w:t>Moderate</w:t>
            </w:r>
          </w:p>
        </w:tc>
        <w:tc>
          <w:tcPr>
            <w:tcW w:w="1418" w:type="dxa"/>
            <w:shd w:val="clear" w:color="auto" w:fill="DCDCDC"/>
            <w:noWrap/>
            <w:hideMark/>
          </w:tcPr>
          <w:p w14:paraId="469D1373" w14:textId="77777777" w:rsidR="005E417D" w:rsidRPr="009B335B" w:rsidRDefault="005E417D" w:rsidP="00301C60">
            <w:pPr>
              <w:pStyle w:val="TableText"/>
              <w:jc w:val="center"/>
              <w:rPr>
                <w:rFonts w:eastAsia="Times New Roman"/>
                <w:b/>
                <w:bCs/>
                <w:lang w:eastAsia="en-AU"/>
              </w:rPr>
            </w:pPr>
            <w:r>
              <w:rPr>
                <w:rFonts w:eastAsia="Times New Roman"/>
                <w:b/>
                <w:bCs/>
                <w:color w:val="00B050"/>
                <w:lang w:eastAsia="en-AU"/>
              </w:rPr>
              <w:t>L</w:t>
            </w:r>
            <w:r w:rsidRPr="009B335B">
              <w:rPr>
                <w:rFonts w:eastAsia="Times New Roman"/>
                <w:b/>
                <w:bCs/>
                <w:color w:val="00B050"/>
                <w:lang w:eastAsia="en-AU"/>
              </w:rPr>
              <w:t>ow</w:t>
            </w:r>
          </w:p>
        </w:tc>
        <w:tc>
          <w:tcPr>
            <w:tcW w:w="1559" w:type="dxa"/>
            <w:shd w:val="clear" w:color="auto" w:fill="DCDCDC"/>
            <w:noWrap/>
            <w:hideMark/>
          </w:tcPr>
          <w:p w14:paraId="13000144" w14:textId="77777777" w:rsidR="005E417D" w:rsidRPr="009B335B" w:rsidRDefault="005E417D" w:rsidP="00301C60">
            <w:pPr>
              <w:pStyle w:val="TableText"/>
              <w:jc w:val="center"/>
              <w:rPr>
                <w:rFonts w:eastAsia="Times New Roman"/>
                <w:b/>
                <w:bCs/>
                <w:lang w:eastAsia="en-AU"/>
              </w:rPr>
            </w:pPr>
            <w:r>
              <w:rPr>
                <w:rFonts w:eastAsia="Times New Roman"/>
                <w:b/>
                <w:bCs/>
                <w:color w:val="FFFF00"/>
                <w:lang w:eastAsia="en-AU"/>
              </w:rPr>
              <w:t>M</w:t>
            </w:r>
            <w:r w:rsidRPr="009B335B">
              <w:rPr>
                <w:rFonts w:eastAsia="Times New Roman"/>
                <w:b/>
                <w:bCs/>
                <w:color w:val="FFFF00"/>
                <w:lang w:eastAsia="en-AU"/>
              </w:rPr>
              <w:t>edium</w:t>
            </w:r>
          </w:p>
        </w:tc>
        <w:tc>
          <w:tcPr>
            <w:tcW w:w="1559" w:type="dxa"/>
            <w:shd w:val="clear" w:color="auto" w:fill="DCDCDC"/>
            <w:noWrap/>
            <w:hideMark/>
          </w:tcPr>
          <w:p w14:paraId="023D430E" w14:textId="77777777" w:rsidR="005E417D" w:rsidRPr="009B335B" w:rsidRDefault="005E417D" w:rsidP="00301C60">
            <w:pPr>
              <w:pStyle w:val="TableText"/>
              <w:jc w:val="center"/>
              <w:rPr>
                <w:rFonts w:eastAsia="Times New Roman"/>
                <w:b/>
                <w:bCs/>
                <w:color w:val="FFC000"/>
                <w:lang w:eastAsia="en-AU"/>
              </w:rPr>
            </w:pPr>
            <w:r>
              <w:rPr>
                <w:rFonts w:eastAsia="Times New Roman"/>
                <w:b/>
                <w:bCs/>
                <w:color w:val="FFFF00"/>
                <w:lang w:eastAsia="en-AU"/>
              </w:rPr>
              <w:t>M</w:t>
            </w:r>
            <w:r w:rsidRPr="009B335B">
              <w:rPr>
                <w:rFonts w:eastAsia="Times New Roman"/>
                <w:b/>
                <w:bCs/>
                <w:color w:val="FFFF00"/>
                <w:lang w:eastAsia="en-AU"/>
              </w:rPr>
              <w:t>edium</w:t>
            </w:r>
          </w:p>
        </w:tc>
        <w:tc>
          <w:tcPr>
            <w:tcW w:w="1418" w:type="dxa"/>
            <w:shd w:val="clear" w:color="auto" w:fill="DCDCDC"/>
            <w:noWrap/>
            <w:hideMark/>
          </w:tcPr>
          <w:p w14:paraId="03423027" w14:textId="77777777" w:rsidR="005E417D" w:rsidRPr="009B335B" w:rsidRDefault="005E417D" w:rsidP="00301C60">
            <w:pPr>
              <w:pStyle w:val="TableText"/>
              <w:jc w:val="center"/>
              <w:rPr>
                <w:rFonts w:eastAsia="Times New Roman"/>
                <w:b/>
                <w:bCs/>
                <w:color w:val="FFC000"/>
                <w:lang w:eastAsia="en-AU"/>
              </w:rPr>
            </w:pPr>
            <w:r>
              <w:rPr>
                <w:rFonts w:eastAsia="Times New Roman"/>
                <w:b/>
                <w:bCs/>
                <w:color w:val="FFC000"/>
                <w:lang w:eastAsia="en-AU"/>
              </w:rPr>
              <w:t>H</w:t>
            </w:r>
            <w:r w:rsidRPr="009B335B">
              <w:rPr>
                <w:rFonts w:eastAsia="Times New Roman"/>
                <w:b/>
                <w:bCs/>
                <w:color w:val="FFC000"/>
                <w:lang w:eastAsia="en-AU"/>
              </w:rPr>
              <w:t>igh</w:t>
            </w:r>
            <w:r w:rsidRPr="009B335B" w:rsidDel="00E26EA3">
              <w:rPr>
                <w:rFonts w:eastAsia="Times New Roman"/>
                <w:b/>
                <w:bCs/>
                <w:color w:val="FFC000"/>
                <w:lang w:eastAsia="en-AU"/>
              </w:rPr>
              <w:t xml:space="preserve"> </w:t>
            </w:r>
          </w:p>
        </w:tc>
        <w:tc>
          <w:tcPr>
            <w:tcW w:w="1978" w:type="dxa"/>
            <w:shd w:val="clear" w:color="auto" w:fill="DCDCDC"/>
            <w:noWrap/>
            <w:hideMark/>
          </w:tcPr>
          <w:p w14:paraId="1D3E0743" w14:textId="77777777" w:rsidR="005E417D" w:rsidRPr="009B335B" w:rsidRDefault="005E417D" w:rsidP="00301C60">
            <w:pPr>
              <w:pStyle w:val="TableText"/>
              <w:jc w:val="center"/>
              <w:rPr>
                <w:rFonts w:eastAsia="Times New Roman"/>
                <w:b/>
                <w:bCs/>
                <w:lang w:eastAsia="en-AU"/>
              </w:rPr>
            </w:pPr>
            <w:r>
              <w:rPr>
                <w:rFonts w:eastAsia="Times New Roman"/>
                <w:b/>
                <w:bCs/>
                <w:color w:val="FFC000"/>
                <w:lang w:eastAsia="en-AU"/>
              </w:rPr>
              <w:t>H</w:t>
            </w:r>
            <w:r w:rsidRPr="009B335B">
              <w:rPr>
                <w:rFonts w:eastAsia="Times New Roman"/>
                <w:b/>
                <w:bCs/>
                <w:color w:val="FFC000"/>
                <w:lang w:eastAsia="en-AU"/>
              </w:rPr>
              <w:t>igh</w:t>
            </w:r>
          </w:p>
        </w:tc>
      </w:tr>
      <w:tr w:rsidR="005E417D" w:rsidRPr="00B54901" w14:paraId="6E632551" w14:textId="77777777" w:rsidTr="00301C60">
        <w:tc>
          <w:tcPr>
            <w:tcW w:w="1696" w:type="dxa"/>
            <w:shd w:val="clear" w:color="auto" w:fill="BCE9FE" w:themeFill="accent1" w:themeFillTint="33"/>
            <w:noWrap/>
            <w:hideMark/>
          </w:tcPr>
          <w:p w14:paraId="4F7759C5" w14:textId="77777777" w:rsidR="005E417D" w:rsidRPr="00EE3D56" w:rsidRDefault="005E417D" w:rsidP="00301C60">
            <w:pPr>
              <w:pStyle w:val="TableText"/>
              <w:rPr>
                <w:rFonts w:eastAsia="Times New Roman"/>
                <w:b/>
                <w:bCs/>
                <w:lang w:eastAsia="en-AU"/>
              </w:rPr>
            </w:pPr>
            <w:r w:rsidRPr="00EE3D56">
              <w:rPr>
                <w:rFonts w:eastAsia="Times New Roman"/>
                <w:b/>
                <w:bCs/>
                <w:lang w:eastAsia="en-AU"/>
              </w:rPr>
              <w:t>Minor</w:t>
            </w:r>
          </w:p>
        </w:tc>
        <w:tc>
          <w:tcPr>
            <w:tcW w:w="1418" w:type="dxa"/>
            <w:shd w:val="clear" w:color="auto" w:fill="DCDCDC"/>
            <w:noWrap/>
            <w:hideMark/>
          </w:tcPr>
          <w:p w14:paraId="30BBA92B" w14:textId="77777777" w:rsidR="005E417D" w:rsidRPr="009B335B" w:rsidRDefault="005E417D" w:rsidP="00301C60">
            <w:pPr>
              <w:pStyle w:val="TableText"/>
              <w:jc w:val="center"/>
              <w:rPr>
                <w:rFonts w:eastAsia="Times New Roman"/>
                <w:b/>
                <w:bCs/>
                <w:color w:val="00B050"/>
                <w:lang w:eastAsia="en-AU"/>
              </w:rPr>
            </w:pPr>
            <w:r>
              <w:rPr>
                <w:rFonts w:eastAsia="Times New Roman"/>
                <w:b/>
                <w:bCs/>
                <w:color w:val="00B050"/>
                <w:lang w:eastAsia="en-AU"/>
              </w:rPr>
              <w:t>L</w:t>
            </w:r>
            <w:r w:rsidRPr="009B335B">
              <w:rPr>
                <w:rFonts w:eastAsia="Times New Roman"/>
                <w:b/>
                <w:bCs/>
                <w:color w:val="00B050"/>
                <w:lang w:eastAsia="en-AU"/>
              </w:rPr>
              <w:t>ow</w:t>
            </w:r>
          </w:p>
        </w:tc>
        <w:tc>
          <w:tcPr>
            <w:tcW w:w="1559" w:type="dxa"/>
            <w:shd w:val="clear" w:color="auto" w:fill="DCDCDC"/>
            <w:noWrap/>
            <w:hideMark/>
          </w:tcPr>
          <w:p w14:paraId="2A559EDB" w14:textId="77777777" w:rsidR="005E417D" w:rsidRPr="009B335B" w:rsidRDefault="005E417D" w:rsidP="00301C60">
            <w:pPr>
              <w:pStyle w:val="TableText"/>
              <w:jc w:val="center"/>
              <w:rPr>
                <w:rFonts w:eastAsia="Times New Roman"/>
                <w:b/>
                <w:bCs/>
                <w:color w:val="00B050"/>
                <w:lang w:eastAsia="en-AU"/>
              </w:rPr>
            </w:pPr>
            <w:r>
              <w:rPr>
                <w:rFonts w:eastAsia="Times New Roman"/>
                <w:b/>
                <w:bCs/>
                <w:color w:val="00B050"/>
                <w:lang w:eastAsia="en-AU"/>
              </w:rPr>
              <w:t>L</w:t>
            </w:r>
            <w:r w:rsidRPr="009B335B">
              <w:rPr>
                <w:rFonts w:eastAsia="Times New Roman"/>
                <w:b/>
                <w:bCs/>
                <w:color w:val="00B050"/>
                <w:lang w:eastAsia="en-AU"/>
              </w:rPr>
              <w:t>ow</w:t>
            </w:r>
          </w:p>
        </w:tc>
        <w:tc>
          <w:tcPr>
            <w:tcW w:w="1559" w:type="dxa"/>
            <w:shd w:val="clear" w:color="auto" w:fill="DCDCDC"/>
            <w:noWrap/>
            <w:hideMark/>
          </w:tcPr>
          <w:p w14:paraId="31BBEEEF" w14:textId="77777777" w:rsidR="005E417D" w:rsidRPr="009B335B" w:rsidRDefault="005E417D" w:rsidP="00301C60">
            <w:pPr>
              <w:pStyle w:val="TableText"/>
              <w:jc w:val="center"/>
              <w:rPr>
                <w:rFonts w:eastAsia="Times New Roman"/>
                <w:b/>
                <w:bCs/>
                <w:color w:val="FFFF00"/>
                <w:lang w:eastAsia="en-AU"/>
              </w:rPr>
            </w:pPr>
            <w:r>
              <w:rPr>
                <w:rFonts w:eastAsia="Times New Roman"/>
                <w:b/>
                <w:bCs/>
                <w:color w:val="00B050"/>
                <w:lang w:eastAsia="en-AU"/>
              </w:rPr>
              <w:t>L</w:t>
            </w:r>
            <w:r w:rsidRPr="009B335B">
              <w:rPr>
                <w:rFonts w:eastAsia="Times New Roman"/>
                <w:b/>
                <w:bCs/>
                <w:color w:val="00B050"/>
                <w:lang w:eastAsia="en-AU"/>
              </w:rPr>
              <w:t>ow</w:t>
            </w:r>
          </w:p>
        </w:tc>
        <w:tc>
          <w:tcPr>
            <w:tcW w:w="1418" w:type="dxa"/>
            <w:shd w:val="clear" w:color="auto" w:fill="DCDCDC"/>
            <w:noWrap/>
            <w:hideMark/>
          </w:tcPr>
          <w:p w14:paraId="11CA0338" w14:textId="77777777" w:rsidR="005E417D" w:rsidRPr="009B335B" w:rsidRDefault="005E417D" w:rsidP="00301C60">
            <w:pPr>
              <w:pStyle w:val="TableText"/>
              <w:jc w:val="center"/>
              <w:rPr>
                <w:rFonts w:eastAsia="Times New Roman"/>
                <w:b/>
                <w:bCs/>
                <w:color w:val="FFC000"/>
                <w:lang w:eastAsia="en-AU"/>
              </w:rPr>
            </w:pPr>
            <w:r>
              <w:rPr>
                <w:rFonts w:eastAsia="Times New Roman"/>
                <w:b/>
                <w:bCs/>
                <w:color w:val="FFFF00"/>
                <w:lang w:eastAsia="en-AU"/>
              </w:rPr>
              <w:t>M</w:t>
            </w:r>
            <w:r w:rsidRPr="009B335B">
              <w:rPr>
                <w:rFonts w:eastAsia="Times New Roman"/>
                <w:b/>
                <w:bCs/>
                <w:color w:val="FFFF00"/>
                <w:lang w:eastAsia="en-AU"/>
              </w:rPr>
              <w:t>edium</w:t>
            </w:r>
          </w:p>
        </w:tc>
        <w:tc>
          <w:tcPr>
            <w:tcW w:w="1978" w:type="dxa"/>
            <w:shd w:val="clear" w:color="auto" w:fill="DCDCDC"/>
            <w:noWrap/>
            <w:hideMark/>
          </w:tcPr>
          <w:p w14:paraId="0DEA3E42" w14:textId="77777777" w:rsidR="005E417D" w:rsidRPr="009B335B" w:rsidRDefault="005E417D" w:rsidP="00301C60">
            <w:pPr>
              <w:pStyle w:val="TableText"/>
              <w:jc w:val="center"/>
              <w:rPr>
                <w:rFonts w:eastAsia="Times New Roman"/>
                <w:b/>
                <w:bCs/>
                <w:color w:val="FFC000"/>
                <w:lang w:eastAsia="en-AU"/>
              </w:rPr>
            </w:pPr>
            <w:r>
              <w:rPr>
                <w:rFonts w:eastAsia="Times New Roman"/>
                <w:b/>
                <w:bCs/>
                <w:color w:val="FFFF00"/>
                <w:lang w:eastAsia="en-AU"/>
              </w:rPr>
              <w:t>M</w:t>
            </w:r>
            <w:r w:rsidRPr="009B335B">
              <w:rPr>
                <w:rFonts w:eastAsia="Times New Roman"/>
                <w:b/>
                <w:bCs/>
                <w:color w:val="FFFF00"/>
                <w:lang w:eastAsia="en-AU"/>
              </w:rPr>
              <w:t>edium</w:t>
            </w:r>
          </w:p>
        </w:tc>
      </w:tr>
      <w:tr w:rsidR="005E417D" w:rsidRPr="00B54901" w14:paraId="412A3F0E" w14:textId="77777777" w:rsidTr="00301C60">
        <w:tc>
          <w:tcPr>
            <w:tcW w:w="1696" w:type="dxa"/>
            <w:shd w:val="clear" w:color="auto" w:fill="BCE9FE" w:themeFill="accent1" w:themeFillTint="33"/>
            <w:noWrap/>
            <w:hideMark/>
          </w:tcPr>
          <w:p w14:paraId="6C9B8F3B" w14:textId="77777777" w:rsidR="005E417D" w:rsidRPr="00EE3D56" w:rsidRDefault="005E417D" w:rsidP="00301C60">
            <w:pPr>
              <w:pStyle w:val="TableText"/>
              <w:rPr>
                <w:rFonts w:eastAsia="Times New Roman"/>
                <w:b/>
                <w:bCs/>
                <w:lang w:eastAsia="en-AU"/>
              </w:rPr>
            </w:pPr>
            <w:r w:rsidRPr="00EE3D56">
              <w:rPr>
                <w:rFonts w:eastAsia="Times New Roman"/>
                <w:b/>
                <w:bCs/>
                <w:lang w:eastAsia="en-AU"/>
              </w:rPr>
              <w:t>Insignificant</w:t>
            </w:r>
          </w:p>
        </w:tc>
        <w:tc>
          <w:tcPr>
            <w:tcW w:w="1418" w:type="dxa"/>
            <w:shd w:val="clear" w:color="auto" w:fill="DCDCDC"/>
            <w:noWrap/>
            <w:hideMark/>
          </w:tcPr>
          <w:p w14:paraId="26D2BF8C" w14:textId="77777777" w:rsidR="005E417D" w:rsidRPr="009B335B" w:rsidRDefault="005E417D" w:rsidP="00301C60">
            <w:pPr>
              <w:pStyle w:val="TableText"/>
              <w:jc w:val="center"/>
              <w:rPr>
                <w:rFonts w:eastAsia="Times New Roman"/>
                <w:b/>
                <w:bCs/>
                <w:color w:val="00B050"/>
                <w:lang w:eastAsia="en-AU"/>
              </w:rPr>
            </w:pPr>
            <w:r>
              <w:rPr>
                <w:rFonts w:eastAsia="Times New Roman"/>
                <w:b/>
                <w:bCs/>
                <w:color w:val="00B050"/>
                <w:lang w:eastAsia="en-AU"/>
              </w:rPr>
              <w:t>L</w:t>
            </w:r>
            <w:r w:rsidRPr="009B335B">
              <w:rPr>
                <w:rFonts w:eastAsia="Times New Roman"/>
                <w:b/>
                <w:bCs/>
                <w:color w:val="00B050"/>
                <w:lang w:eastAsia="en-AU"/>
              </w:rPr>
              <w:t>ow</w:t>
            </w:r>
          </w:p>
        </w:tc>
        <w:tc>
          <w:tcPr>
            <w:tcW w:w="1559" w:type="dxa"/>
            <w:shd w:val="clear" w:color="auto" w:fill="DCDCDC"/>
            <w:noWrap/>
            <w:hideMark/>
          </w:tcPr>
          <w:p w14:paraId="7E0B3419" w14:textId="77777777" w:rsidR="005E417D" w:rsidRPr="009B335B" w:rsidRDefault="005E417D" w:rsidP="00301C60">
            <w:pPr>
              <w:pStyle w:val="TableText"/>
              <w:jc w:val="center"/>
              <w:rPr>
                <w:rFonts w:eastAsia="Times New Roman"/>
                <w:b/>
                <w:bCs/>
                <w:color w:val="00B050"/>
                <w:lang w:eastAsia="en-AU"/>
              </w:rPr>
            </w:pPr>
            <w:r>
              <w:rPr>
                <w:rFonts w:eastAsia="Times New Roman"/>
                <w:b/>
                <w:bCs/>
                <w:color w:val="00B050"/>
                <w:lang w:eastAsia="en-AU"/>
              </w:rPr>
              <w:t>L</w:t>
            </w:r>
            <w:r w:rsidRPr="009B335B">
              <w:rPr>
                <w:rFonts w:eastAsia="Times New Roman"/>
                <w:b/>
                <w:bCs/>
                <w:color w:val="00B050"/>
                <w:lang w:eastAsia="en-AU"/>
              </w:rPr>
              <w:t>ow</w:t>
            </w:r>
          </w:p>
        </w:tc>
        <w:tc>
          <w:tcPr>
            <w:tcW w:w="1559" w:type="dxa"/>
            <w:shd w:val="clear" w:color="auto" w:fill="DCDCDC"/>
            <w:noWrap/>
            <w:hideMark/>
          </w:tcPr>
          <w:p w14:paraId="0EDAA5E9" w14:textId="77777777" w:rsidR="005E417D" w:rsidRPr="009B335B" w:rsidRDefault="005E417D" w:rsidP="00301C60">
            <w:pPr>
              <w:pStyle w:val="TableText"/>
              <w:jc w:val="center"/>
              <w:rPr>
                <w:rFonts w:eastAsia="Times New Roman"/>
                <w:b/>
                <w:bCs/>
                <w:color w:val="00B050"/>
                <w:lang w:eastAsia="en-AU"/>
              </w:rPr>
            </w:pPr>
            <w:r>
              <w:rPr>
                <w:rFonts w:eastAsia="Times New Roman"/>
                <w:b/>
                <w:bCs/>
                <w:color w:val="00B050"/>
                <w:lang w:eastAsia="en-AU"/>
              </w:rPr>
              <w:t>L</w:t>
            </w:r>
            <w:r w:rsidRPr="009B335B">
              <w:rPr>
                <w:rFonts w:eastAsia="Times New Roman"/>
                <w:b/>
                <w:bCs/>
                <w:color w:val="00B050"/>
                <w:lang w:eastAsia="en-AU"/>
              </w:rPr>
              <w:t>ow</w:t>
            </w:r>
          </w:p>
        </w:tc>
        <w:tc>
          <w:tcPr>
            <w:tcW w:w="1418" w:type="dxa"/>
            <w:shd w:val="clear" w:color="auto" w:fill="DCDCDC"/>
            <w:noWrap/>
            <w:hideMark/>
          </w:tcPr>
          <w:p w14:paraId="751B94D0" w14:textId="77777777" w:rsidR="005E417D" w:rsidRPr="009B335B" w:rsidRDefault="005E417D" w:rsidP="00301C60">
            <w:pPr>
              <w:pStyle w:val="TableText"/>
              <w:jc w:val="center"/>
              <w:rPr>
                <w:rFonts w:eastAsia="Times New Roman"/>
                <w:b/>
                <w:bCs/>
                <w:lang w:eastAsia="en-AU"/>
              </w:rPr>
            </w:pPr>
            <w:r>
              <w:rPr>
                <w:rFonts w:eastAsia="Times New Roman"/>
                <w:b/>
                <w:bCs/>
                <w:color w:val="00B050"/>
                <w:lang w:eastAsia="en-AU"/>
              </w:rPr>
              <w:t>L</w:t>
            </w:r>
            <w:r w:rsidRPr="009B335B">
              <w:rPr>
                <w:rFonts w:eastAsia="Times New Roman"/>
                <w:b/>
                <w:bCs/>
                <w:color w:val="00B050"/>
                <w:lang w:eastAsia="en-AU"/>
              </w:rPr>
              <w:t>ow</w:t>
            </w:r>
          </w:p>
        </w:tc>
        <w:tc>
          <w:tcPr>
            <w:tcW w:w="1978" w:type="dxa"/>
            <w:shd w:val="clear" w:color="auto" w:fill="DCDCDC"/>
            <w:noWrap/>
            <w:hideMark/>
          </w:tcPr>
          <w:p w14:paraId="3E28E01B" w14:textId="77777777" w:rsidR="005E417D" w:rsidRPr="009B335B" w:rsidRDefault="005E417D" w:rsidP="00301C60">
            <w:pPr>
              <w:pStyle w:val="TableText"/>
              <w:jc w:val="center"/>
              <w:rPr>
                <w:rFonts w:eastAsia="Times New Roman"/>
                <w:b/>
                <w:bCs/>
                <w:lang w:eastAsia="en-AU"/>
              </w:rPr>
            </w:pPr>
            <w:r>
              <w:rPr>
                <w:rFonts w:eastAsia="Times New Roman"/>
                <w:b/>
                <w:bCs/>
                <w:color w:val="00B050"/>
                <w:lang w:eastAsia="en-AU"/>
              </w:rPr>
              <w:t>L</w:t>
            </w:r>
            <w:r w:rsidRPr="009B335B">
              <w:rPr>
                <w:rFonts w:eastAsia="Times New Roman"/>
                <w:b/>
                <w:bCs/>
                <w:color w:val="00B050"/>
                <w:lang w:eastAsia="en-AU"/>
              </w:rPr>
              <w:t>ow</w:t>
            </w:r>
          </w:p>
        </w:tc>
      </w:tr>
    </w:tbl>
    <w:p w14:paraId="75D929E3" w14:textId="3421E2A0" w:rsidR="00CD4C64" w:rsidRPr="00A23E57" w:rsidRDefault="00CD4C64" w:rsidP="00CD4C64">
      <w:pPr>
        <w:pStyle w:val="TableCaption"/>
      </w:pPr>
      <w:bookmarkStart w:id="133" w:name="_Ref164239777"/>
      <w:bookmarkStart w:id="134" w:name="_Toc164411278"/>
      <w:r w:rsidRPr="00A23E57">
        <w:lastRenderedPageBreak/>
        <w:t xml:space="preserve">Table </w:t>
      </w:r>
      <w:r w:rsidR="008647EF">
        <w:fldChar w:fldCharType="begin"/>
      </w:r>
      <w:r w:rsidR="008647EF">
        <w:instrText xml:space="preserve"> STYLEREF 1 \s </w:instrText>
      </w:r>
      <w:r w:rsidR="008647EF">
        <w:fldChar w:fldCharType="separate"/>
      </w:r>
      <w:r w:rsidR="008647EF">
        <w:rPr>
          <w:noProof/>
        </w:rPr>
        <w:t>5</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4</w:t>
      </w:r>
      <w:r w:rsidR="008647EF">
        <w:fldChar w:fldCharType="end"/>
      </w:r>
      <w:bookmarkEnd w:id="128"/>
      <w:bookmarkEnd w:id="133"/>
      <w:r w:rsidRPr="00A23E57">
        <w:tab/>
      </w:r>
      <w:r>
        <w:t>R</w:t>
      </w:r>
      <w:r w:rsidRPr="00A23E57">
        <w:t xml:space="preserve">isk </w:t>
      </w:r>
      <w:r w:rsidR="000670E7">
        <w:t>level</w:t>
      </w:r>
      <w:r w:rsidRPr="00A23E57">
        <w:t xml:space="preserve"> </w:t>
      </w:r>
      <w:r>
        <w:t>d</w:t>
      </w:r>
      <w:r w:rsidRPr="00A23E57">
        <w:t>efinition</w:t>
      </w:r>
      <w:bookmarkEnd w:id="129"/>
      <w:bookmarkEnd w:id="130"/>
      <w:bookmarkEnd w:id="131"/>
      <w:bookmarkEnd w:id="132"/>
      <w:bookmarkEnd w:id="134"/>
    </w:p>
    <w:tbl>
      <w:tblPr>
        <w:tblStyle w:val="BlueTable4"/>
        <w:tblW w:w="5000" w:type="pct"/>
        <w:tblLayout w:type="fixed"/>
        <w:tblLook w:val="0620" w:firstRow="1" w:lastRow="0" w:firstColumn="0" w:lastColumn="0" w:noHBand="1" w:noVBand="1"/>
      </w:tblPr>
      <w:tblGrid>
        <w:gridCol w:w="1588"/>
        <w:gridCol w:w="8040"/>
      </w:tblGrid>
      <w:tr w:rsidR="00CD4C64" w:rsidRPr="00FB52F8" w14:paraId="08A99C03" w14:textId="77777777" w:rsidTr="00F65818">
        <w:trPr>
          <w:cnfStyle w:val="100000000000" w:firstRow="1" w:lastRow="0" w:firstColumn="0" w:lastColumn="0" w:oddVBand="0" w:evenVBand="0" w:oddHBand="0" w:evenHBand="0" w:firstRowFirstColumn="0" w:firstRowLastColumn="0" w:lastRowFirstColumn="0" w:lastRowLastColumn="0"/>
        </w:trPr>
        <w:tc>
          <w:tcPr>
            <w:tcW w:w="1588" w:type="dxa"/>
          </w:tcPr>
          <w:p w14:paraId="2728EE77" w14:textId="77777777" w:rsidR="00CD4C64" w:rsidRPr="00FB52F8" w:rsidRDefault="00CD4C64" w:rsidP="00F65818">
            <w:pPr>
              <w:pStyle w:val="TableHeading"/>
            </w:pPr>
            <w:r w:rsidRPr="00FB52F8">
              <w:t>Risk Profile</w:t>
            </w:r>
          </w:p>
        </w:tc>
        <w:tc>
          <w:tcPr>
            <w:tcW w:w="8040" w:type="dxa"/>
          </w:tcPr>
          <w:p w14:paraId="68510E97" w14:textId="77777777" w:rsidR="00CD4C64" w:rsidRPr="00FB52F8" w:rsidRDefault="00CD4C64" w:rsidP="00F65818">
            <w:pPr>
              <w:pStyle w:val="TableHeading"/>
            </w:pPr>
            <w:r w:rsidRPr="00FB52F8">
              <w:t>Definition</w:t>
            </w:r>
          </w:p>
        </w:tc>
      </w:tr>
      <w:tr w:rsidR="00CD4C64" w:rsidRPr="00FB52F8" w14:paraId="07416DB3" w14:textId="77777777" w:rsidTr="00F65818">
        <w:tc>
          <w:tcPr>
            <w:tcW w:w="1588" w:type="dxa"/>
          </w:tcPr>
          <w:p w14:paraId="6DD2DACE" w14:textId="77777777" w:rsidR="00CD4C64" w:rsidRPr="00FB52F8" w:rsidRDefault="00CD4C64" w:rsidP="00F65818">
            <w:pPr>
              <w:pStyle w:val="TableText"/>
            </w:pPr>
            <w:r w:rsidRPr="00FB52F8">
              <w:t>Low</w:t>
            </w:r>
          </w:p>
        </w:tc>
        <w:tc>
          <w:tcPr>
            <w:tcW w:w="8040" w:type="dxa"/>
          </w:tcPr>
          <w:p w14:paraId="4D21081F" w14:textId="77777777" w:rsidR="00CD4C64" w:rsidRPr="00FB52F8" w:rsidRDefault="00CD4C64" w:rsidP="00F65818">
            <w:pPr>
              <w:pStyle w:val="TableText"/>
            </w:pPr>
            <w:r w:rsidRPr="00FB52F8">
              <w:t>Tolerable risk.</w:t>
            </w:r>
            <w:r>
              <w:t xml:space="preserve"> </w:t>
            </w:r>
            <w:r w:rsidRPr="00FB52F8">
              <w:t>A level of risk that is low and manageable without intervention</w:t>
            </w:r>
            <w:r>
              <w:t xml:space="preserve"> outside routine asset maintenance</w:t>
            </w:r>
            <w:r w:rsidRPr="00FB52F8">
              <w:t>.</w:t>
            </w:r>
          </w:p>
        </w:tc>
      </w:tr>
      <w:tr w:rsidR="00CD4C64" w:rsidRPr="00FB52F8" w14:paraId="67AA2106" w14:textId="77777777" w:rsidTr="00F65818">
        <w:tc>
          <w:tcPr>
            <w:tcW w:w="1588" w:type="dxa"/>
          </w:tcPr>
          <w:p w14:paraId="741A16BC" w14:textId="77777777" w:rsidR="00CD4C64" w:rsidRPr="00FB52F8" w:rsidRDefault="00CD4C64" w:rsidP="00F65818">
            <w:pPr>
              <w:pStyle w:val="TableText"/>
            </w:pPr>
            <w:r w:rsidRPr="00FB52F8">
              <w:t>Medium</w:t>
            </w:r>
          </w:p>
        </w:tc>
        <w:tc>
          <w:tcPr>
            <w:tcW w:w="8040" w:type="dxa"/>
          </w:tcPr>
          <w:p w14:paraId="27E718AB" w14:textId="77777777" w:rsidR="00CD4C64" w:rsidRPr="00FB52F8" w:rsidRDefault="00CD4C64" w:rsidP="00F65818">
            <w:pPr>
              <w:pStyle w:val="TableText"/>
            </w:pPr>
            <w:r>
              <w:t xml:space="preserve">A level of </w:t>
            </w:r>
            <w:r w:rsidRPr="00FB52F8">
              <w:t>risk that may require intervention to mitigate</w:t>
            </w:r>
            <w:r>
              <w:t>, such as changes to design standards or asset maintenance</w:t>
            </w:r>
            <w:r w:rsidRPr="00FB52F8">
              <w:t>.</w:t>
            </w:r>
            <w:r>
              <w:t xml:space="preserve"> Short to medium term action required.</w:t>
            </w:r>
          </w:p>
        </w:tc>
      </w:tr>
      <w:tr w:rsidR="00CD4C64" w:rsidRPr="00FB52F8" w14:paraId="1FEB9795" w14:textId="77777777" w:rsidTr="00F65818">
        <w:tc>
          <w:tcPr>
            <w:tcW w:w="1588" w:type="dxa"/>
          </w:tcPr>
          <w:p w14:paraId="04C1D945" w14:textId="77777777" w:rsidR="00CD4C64" w:rsidRPr="00FB52F8" w:rsidRDefault="00CD4C64" w:rsidP="00F65818">
            <w:pPr>
              <w:pStyle w:val="TableText"/>
            </w:pPr>
            <w:r w:rsidRPr="00FB52F8">
              <w:t>High</w:t>
            </w:r>
          </w:p>
        </w:tc>
        <w:tc>
          <w:tcPr>
            <w:tcW w:w="8040" w:type="dxa"/>
          </w:tcPr>
          <w:p w14:paraId="1BB8E9BC" w14:textId="77777777" w:rsidR="00CD4C64" w:rsidRPr="00FB52F8" w:rsidRDefault="00CD4C64" w:rsidP="00F65818">
            <w:pPr>
              <w:pStyle w:val="TableText"/>
            </w:pPr>
            <w:r w:rsidRPr="00FB52F8">
              <w:t>A level of risk requiring significant intervention to mitigate</w:t>
            </w:r>
            <w:r>
              <w:t xml:space="preserve"> in the immediate to short term</w:t>
            </w:r>
            <w:r w:rsidRPr="00FB52F8">
              <w:t>.</w:t>
            </w:r>
          </w:p>
        </w:tc>
      </w:tr>
      <w:tr w:rsidR="00CD4C64" w:rsidRPr="00FB52F8" w14:paraId="6886265C" w14:textId="77777777" w:rsidTr="00F65818">
        <w:tc>
          <w:tcPr>
            <w:tcW w:w="1588" w:type="dxa"/>
          </w:tcPr>
          <w:p w14:paraId="2C22F124" w14:textId="77777777" w:rsidR="00CD4C64" w:rsidRPr="00FB52F8" w:rsidRDefault="00CD4C64" w:rsidP="00F65818">
            <w:pPr>
              <w:pStyle w:val="TableText"/>
            </w:pPr>
            <w:r w:rsidRPr="00FB52F8">
              <w:t>Extreme</w:t>
            </w:r>
          </w:p>
        </w:tc>
        <w:tc>
          <w:tcPr>
            <w:tcW w:w="8040" w:type="dxa"/>
          </w:tcPr>
          <w:p w14:paraId="5389CCE4" w14:textId="77777777" w:rsidR="00CD4C64" w:rsidRPr="00FB52F8" w:rsidRDefault="00CD4C64" w:rsidP="00F65818">
            <w:pPr>
              <w:pStyle w:val="TableText"/>
            </w:pPr>
            <w:r w:rsidRPr="00FB52F8">
              <w:t>Immediate action required</w:t>
            </w:r>
            <w:r>
              <w:t xml:space="preserve"> to reduce risk to acceptable levels</w:t>
            </w:r>
          </w:p>
        </w:tc>
      </w:tr>
    </w:tbl>
    <w:p w14:paraId="7D7A87F6" w14:textId="77777777" w:rsidR="00CD4C64" w:rsidRDefault="00CD4C64" w:rsidP="00CD4C64">
      <w:pPr>
        <w:pStyle w:val="Heading2"/>
        <w:numPr>
          <w:ilvl w:val="1"/>
          <w:numId w:val="14"/>
        </w:numPr>
      </w:pPr>
      <w:bookmarkStart w:id="135" w:name="_Toc86921821"/>
      <w:bookmarkStart w:id="136" w:name="_Toc107582240"/>
      <w:bookmarkStart w:id="137" w:name="_Toc152578227"/>
      <w:bookmarkStart w:id="138" w:name="_Toc164420879"/>
      <w:r>
        <w:t>Adaptive Capacity</w:t>
      </w:r>
      <w:bookmarkEnd w:id="135"/>
      <w:bookmarkEnd w:id="136"/>
      <w:bookmarkEnd w:id="137"/>
      <w:bookmarkEnd w:id="138"/>
    </w:p>
    <w:p w14:paraId="60BEE1D3" w14:textId="7E966412" w:rsidR="00CD4C64" w:rsidRDefault="00CD4C64" w:rsidP="00CD4C64">
      <w:pPr>
        <w:pStyle w:val="BodyText"/>
      </w:pPr>
      <w:r w:rsidRPr="00A120B5">
        <w:t xml:space="preserve">The </w:t>
      </w:r>
      <w:r w:rsidRPr="00A120B5">
        <w:rPr>
          <w:b/>
          <w:bCs/>
          <w:color w:val="0278AD" w:themeColor="accent1"/>
        </w:rPr>
        <w:t>adaptive capacity</w:t>
      </w:r>
      <w:r w:rsidRPr="00A120B5">
        <w:rPr>
          <w:color w:val="0278AD" w:themeColor="accent1"/>
        </w:rPr>
        <w:t xml:space="preserve"> </w:t>
      </w:r>
      <w:r w:rsidRPr="00A120B5">
        <w:t>is the asset’s ability to adjust/adapt to the identified hazard.</w:t>
      </w:r>
      <w:r>
        <w:t xml:space="preserve"> It was determined based on the potential for the system to be modified to cope with the impacts from coastal hazards. Assets with high adaptive capacity can easily be adapted. For instance, beach and dune systems often have higher adaptive capacity than coastal infrastructure and residential land. The scale of adaptive capacity is provided in </w:t>
      </w:r>
      <w:r>
        <w:fldChar w:fldCharType="begin"/>
      </w:r>
      <w:r>
        <w:instrText xml:space="preserve"> REF _Ref73114112 \h </w:instrText>
      </w:r>
      <w:r>
        <w:fldChar w:fldCharType="separate"/>
      </w:r>
      <w:r w:rsidR="00594B04">
        <w:t>Table </w:t>
      </w:r>
      <w:r w:rsidR="00594B04">
        <w:rPr>
          <w:noProof/>
        </w:rPr>
        <w:t>5</w:t>
      </w:r>
      <w:r w:rsidR="00594B04">
        <w:noBreakHyphen/>
      </w:r>
      <w:r w:rsidR="00594B04">
        <w:rPr>
          <w:noProof/>
        </w:rPr>
        <w:t>5</w:t>
      </w:r>
      <w:r>
        <w:fldChar w:fldCharType="end"/>
      </w:r>
      <w:r>
        <w:t>. Rating of adaptive capacity was determined by assets/asset groups as well as opinions from stakeholders and community.</w:t>
      </w:r>
    </w:p>
    <w:p w14:paraId="15EA466E" w14:textId="0E2447A4" w:rsidR="00CD4C64" w:rsidRDefault="00CD4C64" w:rsidP="00CD4C64">
      <w:pPr>
        <w:pStyle w:val="TableCaption"/>
      </w:pPr>
      <w:bookmarkStart w:id="139" w:name="_Ref73114112"/>
      <w:bookmarkStart w:id="140" w:name="_Toc86921890"/>
      <w:bookmarkStart w:id="141" w:name="_Toc107582219"/>
      <w:bookmarkStart w:id="142" w:name="_Toc152578342"/>
      <w:bookmarkStart w:id="143" w:name="_Toc164411279"/>
      <w:r>
        <w:t>Table </w:t>
      </w:r>
      <w:r w:rsidR="008647EF">
        <w:fldChar w:fldCharType="begin"/>
      </w:r>
      <w:r w:rsidR="008647EF">
        <w:instrText xml:space="preserve"> STYLEREF 1 \s </w:instrText>
      </w:r>
      <w:r w:rsidR="008647EF">
        <w:fldChar w:fldCharType="separate"/>
      </w:r>
      <w:r w:rsidR="008647EF">
        <w:rPr>
          <w:noProof/>
        </w:rPr>
        <w:t>5</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5</w:t>
      </w:r>
      <w:r w:rsidR="008647EF">
        <w:fldChar w:fldCharType="end"/>
      </w:r>
      <w:bookmarkEnd w:id="139"/>
      <w:r>
        <w:tab/>
        <w:t>Adaptive Capacity</w:t>
      </w:r>
      <w:bookmarkEnd w:id="140"/>
      <w:bookmarkEnd w:id="141"/>
      <w:bookmarkEnd w:id="142"/>
      <w:bookmarkEnd w:id="143"/>
    </w:p>
    <w:tbl>
      <w:tblPr>
        <w:tblStyle w:val="BlueTable"/>
        <w:tblW w:w="5000" w:type="pct"/>
        <w:tblLook w:val="0620" w:firstRow="1" w:lastRow="0" w:firstColumn="0" w:lastColumn="0" w:noHBand="1" w:noVBand="1"/>
      </w:tblPr>
      <w:tblGrid>
        <w:gridCol w:w="2830"/>
        <w:gridCol w:w="6798"/>
      </w:tblGrid>
      <w:tr w:rsidR="00CD4C64" w:rsidRPr="00A060D4" w14:paraId="25C384E3" w14:textId="77777777" w:rsidTr="00F65818">
        <w:trPr>
          <w:cnfStyle w:val="100000000000" w:firstRow="1" w:lastRow="0" w:firstColumn="0" w:lastColumn="0" w:oddVBand="0" w:evenVBand="0" w:oddHBand="0" w:evenHBand="0" w:firstRowFirstColumn="0" w:firstRowLastColumn="0" w:lastRowFirstColumn="0" w:lastRowLastColumn="0"/>
        </w:trPr>
        <w:tc>
          <w:tcPr>
            <w:tcW w:w="2830" w:type="dxa"/>
            <w:noWrap/>
            <w:hideMark/>
          </w:tcPr>
          <w:p w14:paraId="579C9737" w14:textId="77777777" w:rsidR="00CD4C64" w:rsidRPr="00A060D4" w:rsidRDefault="00CD4C64" w:rsidP="00F65818">
            <w:pPr>
              <w:pStyle w:val="TableHeading"/>
              <w:rPr>
                <w:rFonts w:eastAsia="Times New Roman"/>
                <w:lang w:eastAsia="en-AU"/>
              </w:rPr>
            </w:pPr>
            <w:r w:rsidRPr="00A060D4">
              <w:rPr>
                <w:rFonts w:eastAsia="Times New Roman"/>
                <w:lang w:eastAsia="en-AU"/>
              </w:rPr>
              <w:t>Adaptive Capacity</w:t>
            </w:r>
          </w:p>
        </w:tc>
        <w:tc>
          <w:tcPr>
            <w:tcW w:w="6798" w:type="dxa"/>
            <w:noWrap/>
            <w:hideMark/>
          </w:tcPr>
          <w:p w14:paraId="2D620E18" w14:textId="77777777" w:rsidR="00CD4C64" w:rsidRPr="00A060D4" w:rsidRDefault="00CD4C64" w:rsidP="00F65818">
            <w:pPr>
              <w:pStyle w:val="TableHeading"/>
              <w:rPr>
                <w:rFonts w:eastAsia="Times New Roman"/>
                <w:lang w:eastAsia="en-AU"/>
              </w:rPr>
            </w:pPr>
            <w:r w:rsidRPr="00A060D4">
              <w:rPr>
                <w:rFonts w:eastAsia="Times New Roman"/>
                <w:lang w:eastAsia="en-AU"/>
              </w:rPr>
              <w:t>Description</w:t>
            </w:r>
          </w:p>
        </w:tc>
      </w:tr>
      <w:tr w:rsidR="00CD4C64" w:rsidRPr="00A060D4" w14:paraId="75F04474" w14:textId="77777777" w:rsidTr="00F65818">
        <w:tc>
          <w:tcPr>
            <w:tcW w:w="2830" w:type="dxa"/>
            <w:shd w:val="clear" w:color="auto" w:fill="DCDCDC"/>
            <w:noWrap/>
            <w:hideMark/>
          </w:tcPr>
          <w:p w14:paraId="58CDCDF5" w14:textId="77777777" w:rsidR="00CD4C64" w:rsidRPr="002A3E7B" w:rsidRDefault="00CD4C64" w:rsidP="00F65818">
            <w:pPr>
              <w:pStyle w:val="TableText"/>
              <w:rPr>
                <w:rFonts w:eastAsia="Times New Roman"/>
                <w:b/>
                <w:bCs/>
                <w:color w:val="00B0F0"/>
                <w:lang w:eastAsia="en-AU"/>
              </w:rPr>
            </w:pPr>
            <w:r w:rsidRPr="002A3E7B">
              <w:rPr>
                <w:rFonts w:eastAsia="Times New Roman"/>
                <w:b/>
                <w:bCs/>
                <w:color w:val="00B0F0"/>
                <w:lang w:eastAsia="en-AU"/>
              </w:rPr>
              <w:t>No adaptation required</w:t>
            </w:r>
          </w:p>
        </w:tc>
        <w:tc>
          <w:tcPr>
            <w:tcW w:w="6798" w:type="dxa"/>
            <w:hideMark/>
          </w:tcPr>
          <w:p w14:paraId="6A631382" w14:textId="77777777" w:rsidR="00CD4C64" w:rsidRPr="002A3E7B" w:rsidRDefault="00CD4C64" w:rsidP="00F65818">
            <w:pPr>
              <w:pStyle w:val="TableText"/>
            </w:pPr>
            <w:r w:rsidRPr="002A3E7B">
              <w:t>Potential impact has insignificant effect on asset. Controls are re-established naturally or with ease before more damage would likely occur.</w:t>
            </w:r>
          </w:p>
        </w:tc>
      </w:tr>
      <w:tr w:rsidR="00CD4C64" w:rsidRPr="00A060D4" w14:paraId="12378663" w14:textId="77777777" w:rsidTr="00F65818">
        <w:tc>
          <w:tcPr>
            <w:tcW w:w="2830" w:type="dxa"/>
            <w:shd w:val="clear" w:color="auto" w:fill="DCDCDC"/>
            <w:noWrap/>
            <w:hideMark/>
          </w:tcPr>
          <w:p w14:paraId="1D7F1B5E" w14:textId="77777777" w:rsidR="00CD4C64" w:rsidRPr="002A3E7B" w:rsidRDefault="00CD4C64" w:rsidP="00F65818">
            <w:pPr>
              <w:pStyle w:val="TableText"/>
              <w:rPr>
                <w:rFonts w:eastAsia="Times New Roman"/>
                <w:b/>
                <w:bCs/>
                <w:color w:val="00B050"/>
                <w:lang w:eastAsia="en-AU"/>
              </w:rPr>
            </w:pPr>
            <w:r w:rsidRPr="002A3E7B">
              <w:rPr>
                <w:rFonts w:eastAsia="Times New Roman"/>
                <w:b/>
                <w:bCs/>
                <w:color w:val="00B050"/>
                <w:lang w:eastAsia="en-AU"/>
              </w:rPr>
              <w:t>Very High</w:t>
            </w:r>
          </w:p>
        </w:tc>
        <w:tc>
          <w:tcPr>
            <w:tcW w:w="6798" w:type="dxa"/>
            <w:hideMark/>
          </w:tcPr>
          <w:p w14:paraId="30499720" w14:textId="77777777" w:rsidR="00CD4C64" w:rsidRPr="002A3E7B" w:rsidRDefault="00CD4C64" w:rsidP="00F65818">
            <w:pPr>
              <w:pStyle w:val="TableText"/>
            </w:pPr>
            <w:r w:rsidRPr="002A3E7B">
              <w:t>Good adaptive capacity. Functionality restored easily. Adaptive systems restored at a relatively low cost or naturally over time.</w:t>
            </w:r>
          </w:p>
        </w:tc>
      </w:tr>
      <w:tr w:rsidR="00CD4C64" w:rsidRPr="00A060D4" w14:paraId="084175F2" w14:textId="77777777" w:rsidTr="00F65818">
        <w:tc>
          <w:tcPr>
            <w:tcW w:w="2830" w:type="dxa"/>
            <w:shd w:val="clear" w:color="auto" w:fill="DCDCDC"/>
            <w:noWrap/>
            <w:hideMark/>
          </w:tcPr>
          <w:p w14:paraId="772B3CAF" w14:textId="77777777" w:rsidR="00CD4C64" w:rsidRPr="002A3E7B" w:rsidRDefault="00CD4C64" w:rsidP="00F65818">
            <w:pPr>
              <w:pStyle w:val="TableText"/>
              <w:rPr>
                <w:rFonts w:eastAsia="Times New Roman"/>
                <w:b/>
                <w:bCs/>
                <w:color w:val="FFFF00"/>
                <w:lang w:eastAsia="en-AU"/>
              </w:rPr>
            </w:pPr>
            <w:r w:rsidRPr="002A3E7B">
              <w:rPr>
                <w:rFonts w:eastAsia="Times New Roman"/>
                <w:b/>
                <w:bCs/>
                <w:color w:val="FFFF00"/>
                <w:lang w:eastAsia="en-AU"/>
              </w:rPr>
              <w:t>High</w:t>
            </w:r>
          </w:p>
        </w:tc>
        <w:tc>
          <w:tcPr>
            <w:tcW w:w="6798" w:type="dxa"/>
            <w:hideMark/>
          </w:tcPr>
          <w:p w14:paraId="50C3F2AB" w14:textId="77777777" w:rsidR="00CD4C64" w:rsidRPr="002A3E7B" w:rsidRDefault="00CD4C64" w:rsidP="00F65818">
            <w:pPr>
              <w:pStyle w:val="TableText"/>
            </w:pPr>
            <w:r w:rsidRPr="002A3E7B">
              <w:t>Decent adaptive capacity. Functionality can be restored, although additional adaptive measures should still be considered. Natural adaptive capacity restored slowly over time under average condition</w:t>
            </w:r>
            <w:r>
              <w:t>s</w:t>
            </w:r>
          </w:p>
        </w:tc>
      </w:tr>
      <w:tr w:rsidR="00CD4C64" w:rsidRPr="00A060D4" w14:paraId="18D99012" w14:textId="77777777" w:rsidTr="00F65818">
        <w:tc>
          <w:tcPr>
            <w:tcW w:w="2830" w:type="dxa"/>
            <w:shd w:val="clear" w:color="auto" w:fill="DCDCDC"/>
            <w:noWrap/>
            <w:hideMark/>
          </w:tcPr>
          <w:p w14:paraId="52568700" w14:textId="77777777" w:rsidR="00CD4C64" w:rsidRPr="002A3E7B" w:rsidRDefault="00CD4C64" w:rsidP="00F65818">
            <w:pPr>
              <w:pStyle w:val="TableText"/>
              <w:rPr>
                <w:rFonts w:eastAsia="Times New Roman"/>
                <w:b/>
                <w:bCs/>
                <w:color w:val="FFC000"/>
                <w:lang w:eastAsia="en-AU"/>
              </w:rPr>
            </w:pPr>
            <w:r w:rsidRPr="002A3E7B">
              <w:rPr>
                <w:rFonts w:eastAsia="Times New Roman"/>
                <w:b/>
                <w:bCs/>
                <w:color w:val="FFC000"/>
                <w:lang w:eastAsia="en-AU"/>
              </w:rPr>
              <w:t>Moderate</w:t>
            </w:r>
          </w:p>
        </w:tc>
        <w:tc>
          <w:tcPr>
            <w:tcW w:w="6798" w:type="dxa"/>
            <w:hideMark/>
          </w:tcPr>
          <w:p w14:paraId="5C85ECC8" w14:textId="77777777" w:rsidR="00CD4C64" w:rsidRPr="002A3E7B" w:rsidRDefault="00CD4C64" w:rsidP="00F65818">
            <w:pPr>
              <w:pStyle w:val="TableText"/>
            </w:pPr>
            <w:r w:rsidRPr="002A3E7B">
              <w:t>Small amount of adaptive capacity. Difficult but possible to restore functionality through repair and redesign.</w:t>
            </w:r>
          </w:p>
        </w:tc>
      </w:tr>
      <w:tr w:rsidR="00CD4C64" w:rsidRPr="00A060D4" w14:paraId="75AFD07C" w14:textId="77777777" w:rsidTr="00F65818">
        <w:tc>
          <w:tcPr>
            <w:tcW w:w="2830" w:type="dxa"/>
            <w:shd w:val="clear" w:color="auto" w:fill="DCDCDC"/>
            <w:noWrap/>
            <w:hideMark/>
          </w:tcPr>
          <w:p w14:paraId="6D78CD17" w14:textId="77777777" w:rsidR="00CD4C64" w:rsidRPr="002A3E7B" w:rsidRDefault="00CD4C64" w:rsidP="00F65818">
            <w:pPr>
              <w:pStyle w:val="TableText"/>
              <w:rPr>
                <w:rFonts w:eastAsia="Times New Roman"/>
                <w:b/>
                <w:bCs/>
                <w:color w:val="FF0000"/>
                <w:lang w:eastAsia="en-AU"/>
              </w:rPr>
            </w:pPr>
            <w:r w:rsidRPr="002A3E7B">
              <w:rPr>
                <w:rFonts w:eastAsia="Times New Roman"/>
                <w:b/>
                <w:bCs/>
                <w:color w:val="FF0000"/>
                <w:lang w:eastAsia="en-AU"/>
              </w:rPr>
              <w:t>Low</w:t>
            </w:r>
          </w:p>
        </w:tc>
        <w:tc>
          <w:tcPr>
            <w:tcW w:w="6798" w:type="dxa"/>
            <w:hideMark/>
          </w:tcPr>
          <w:p w14:paraId="4E60E14B" w14:textId="77777777" w:rsidR="00CD4C64" w:rsidRPr="002A3E7B" w:rsidRDefault="00CD4C64" w:rsidP="00F65818">
            <w:pPr>
              <w:pStyle w:val="TableText"/>
            </w:pPr>
            <w:r w:rsidRPr="002A3E7B">
              <w:t>Little or no adaptive capacity. Potential impact would destroy all functionality. Redesign required.</w:t>
            </w:r>
          </w:p>
        </w:tc>
      </w:tr>
    </w:tbl>
    <w:p w14:paraId="74DE27DE" w14:textId="77777777" w:rsidR="00CD4C64" w:rsidRDefault="00CD4C64" w:rsidP="00CD4C64">
      <w:pPr>
        <w:pStyle w:val="Heading2"/>
        <w:numPr>
          <w:ilvl w:val="1"/>
          <w:numId w:val="14"/>
        </w:numPr>
      </w:pPr>
      <w:bookmarkStart w:id="144" w:name="_Toc107582241"/>
      <w:bookmarkStart w:id="145" w:name="_Toc152578228"/>
      <w:bookmarkStart w:id="146" w:name="_Toc164420880"/>
      <w:r>
        <w:t>Vulnerability</w:t>
      </w:r>
      <w:bookmarkEnd w:id="144"/>
      <w:r>
        <w:t xml:space="preserve"> Ratings</w:t>
      </w:r>
      <w:bookmarkEnd w:id="145"/>
      <w:bookmarkEnd w:id="146"/>
    </w:p>
    <w:p w14:paraId="09AC758D" w14:textId="37A3ABAB" w:rsidR="00CD4C64" w:rsidRPr="00E72FF6" w:rsidRDefault="00CD4C64" w:rsidP="00CD4C64">
      <w:pPr>
        <w:pStyle w:val="BodyText"/>
        <w:rPr>
          <w:lang w:eastAsia="en-US"/>
        </w:rPr>
      </w:pPr>
      <w:r w:rsidRPr="00FC4C38">
        <w:rPr>
          <w:rStyle w:val="Emphasis"/>
        </w:rPr>
        <w:t>Vulnerability</w:t>
      </w:r>
      <w:r w:rsidRPr="009D0AA1">
        <w:t xml:space="preserve"> </w:t>
      </w:r>
      <w:r>
        <w:rPr>
          <w:lang w:eastAsia="en-US"/>
        </w:rPr>
        <w:t xml:space="preserve">is calculated as the </w:t>
      </w:r>
      <w:r w:rsidRPr="00FC4C38">
        <w:rPr>
          <w:b/>
          <w:bCs/>
          <w:color w:val="FF0000"/>
          <w:lang w:eastAsia="en-US"/>
        </w:rPr>
        <w:t>product</w:t>
      </w:r>
      <w:r>
        <w:rPr>
          <w:lang w:eastAsia="en-US"/>
        </w:rPr>
        <w:t xml:space="preserve"> of </w:t>
      </w:r>
      <w:r w:rsidRPr="009D0AA1">
        <w:t>potential impact</w:t>
      </w:r>
      <w:r>
        <w:t xml:space="preserve"> (risk level)</w:t>
      </w:r>
      <w:r w:rsidRPr="009D0AA1">
        <w:t xml:space="preserve"> and the adaptive capacity</w:t>
      </w:r>
      <w:r>
        <w:t xml:space="preserve"> (</w:t>
      </w:r>
      <w:r>
        <w:fldChar w:fldCharType="begin"/>
      </w:r>
      <w:r>
        <w:instrText xml:space="preserve"> REF _Ref525062878 \h </w:instrText>
      </w:r>
      <w:r>
        <w:fldChar w:fldCharType="separate"/>
      </w:r>
      <w:r w:rsidR="00594B04">
        <w:t xml:space="preserve">Figure </w:t>
      </w:r>
      <w:r w:rsidR="00594B04">
        <w:rPr>
          <w:noProof/>
        </w:rPr>
        <w:t>5</w:t>
      </w:r>
      <w:r w:rsidR="00594B04">
        <w:noBreakHyphen/>
      </w:r>
      <w:r w:rsidR="00594B04">
        <w:rPr>
          <w:noProof/>
        </w:rPr>
        <w:t>2</w:t>
      </w:r>
      <w:r>
        <w:fldChar w:fldCharType="end"/>
      </w:r>
      <w:r>
        <w:t xml:space="preserve"> and </w:t>
      </w:r>
      <w:r>
        <w:fldChar w:fldCharType="begin"/>
      </w:r>
      <w:r>
        <w:instrText xml:space="preserve"> REF _Ref121245042 \h </w:instrText>
      </w:r>
      <w:r>
        <w:fldChar w:fldCharType="separate"/>
      </w:r>
      <w:r w:rsidR="00594B04">
        <w:t>Table </w:t>
      </w:r>
      <w:r w:rsidR="00594B04">
        <w:rPr>
          <w:noProof/>
        </w:rPr>
        <w:t>5</w:t>
      </w:r>
      <w:r w:rsidR="00594B04">
        <w:noBreakHyphen/>
      </w:r>
      <w:r w:rsidR="00594B04">
        <w:rPr>
          <w:noProof/>
        </w:rPr>
        <w:t>6</w:t>
      </w:r>
      <w:r>
        <w:fldChar w:fldCharType="end"/>
      </w:r>
      <w:r>
        <w:t xml:space="preserve">). As per WAPC (2019), four levels of vulnerability are considered in this study which should be assessed for each of the planning timeframes considered by this CHRMAP. </w:t>
      </w:r>
      <w:r>
        <w:rPr>
          <w:rStyle w:val="Emphasis"/>
        </w:rPr>
        <w:t>V</w:t>
      </w:r>
      <w:r w:rsidRPr="006F05DC">
        <w:rPr>
          <w:rStyle w:val="Emphasis"/>
        </w:rPr>
        <w:t>ulnerability</w:t>
      </w:r>
      <w:r>
        <w:t xml:space="preserve"> ratings are Extreme, High, Medium and Low. </w:t>
      </w:r>
    </w:p>
    <w:p w14:paraId="2F5CA09A" w14:textId="77777777" w:rsidR="00CD4C64" w:rsidRPr="00B84D6C" w:rsidRDefault="00CD4C64" w:rsidP="00CD4C64">
      <w:pPr>
        <w:pStyle w:val="BodyText"/>
        <w:rPr>
          <w:rFonts w:eastAsiaTheme="minorHAnsi" w:cstheme="minorBidi"/>
          <w:b/>
          <w:color w:val="595959" w:themeColor="text1" w:themeTint="A6"/>
          <w:sz w:val="18"/>
          <w:szCs w:val="22"/>
          <w:lang w:eastAsia="en-US"/>
        </w:rPr>
      </w:pPr>
      <w:r w:rsidRPr="00B84D6C">
        <w:rPr>
          <w:rFonts w:eastAsiaTheme="minorHAnsi" w:cstheme="minorBidi"/>
          <w:b/>
          <w:noProof/>
          <w:color w:val="595959" w:themeColor="text1" w:themeTint="A6"/>
          <w:sz w:val="18"/>
          <w:szCs w:val="22"/>
          <w:lang w:eastAsia="en-US"/>
        </w:rPr>
        <w:drawing>
          <wp:inline distT="0" distB="0" distL="0" distR="0" wp14:anchorId="4DACAA3E" wp14:editId="740BDD98">
            <wp:extent cx="6120130" cy="1228725"/>
            <wp:effectExtent l="0" t="0" r="13970" b="9525"/>
            <wp:docPr id="355" name="Diagram 3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0F89F42A" w14:textId="095FE7A5" w:rsidR="00CD4C64" w:rsidRDefault="00CD4C64" w:rsidP="00CD4C64">
      <w:pPr>
        <w:pStyle w:val="FigureCaption"/>
      </w:pPr>
      <w:bookmarkStart w:id="147" w:name="_Ref525062878"/>
      <w:bookmarkStart w:id="148" w:name="_Toc525138943"/>
      <w:bookmarkStart w:id="149" w:name="_Toc17372071"/>
      <w:bookmarkStart w:id="150" w:name="_Toc86921872"/>
      <w:bookmarkStart w:id="151" w:name="_Toc107581686"/>
      <w:bookmarkStart w:id="152" w:name="_Toc152578285"/>
      <w:bookmarkStart w:id="153" w:name="_Toc164411267"/>
      <w:r>
        <w:t xml:space="preserve">Figure </w:t>
      </w:r>
      <w:r w:rsidR="008647EF">
        <w:fldChar w:fldCharType="begin"/>
      </w:r>
      <w:r w:rsidR="008647EF">
        <w:instrText xml:space="preserve"> STYLEREF 1 \s </w:instrText>
      </w:r>
      <w:r w:rsidR="008647EF">
        <w:fldChar w:fldCharType="separate"/>
      </w:r>
      <w:r w:rsidR="008647EF">
        <w:rPr>
          <w:noProof/>
        </w:rPr>
        <w:t>5</w:t>
      </w:r>
      <w:r w:rsidR="008647EF">
        <w:fldChar w:fldCharType="end"/>
      </w:r>
      <w:r w:rsidR="008647EF">
        <w:noBreakHyphen/>
      </w:r>
      <w:r w:rsidR="008647EF">
        <w:fldChar w:fldCharType="begin"/>
      </w:r>
      <w:r w:rsidR="008647EF">
        <w:instrText xml:space="preserve"> SEQ Figure \* ARABIC \s 1 </w:instrText>
      </w:r>
      <w:r w:rsidR="008647EF">
        <w:fldChar w:fldCharType="separate"/>
      </w:r>
      <w:r w:rsidR="008647EF">
        <w:rPr>
          <w:noProof/>
        </w:rPr>
        <w:t>2</w:t>
      </w:r>
      <w:r w:rsidR="008647EF">
        <w:fldChar w:fldCharType="end"/>
      </w:r>
      <w:bookmarkEnd w:id="147"/>
      <w:r>
        <w:tab/>
        <w:t>Vulnerability relationship</w:t>
      </w:r>
      <w:bookmarkEnd w:id="148"/>
      <w:bookmarkEnd w:id="149"/>
      <w:bookmarkEnd w:id="150"/>
      <w:bookmarkEnd w:id="151"/>
      <w:bookmarkEnd w:id="152"/>
      <w:bookmarkEnd w:id="153"/>
    </w:p>
    <w:p w14:paraId="3A6895EC" w14:textId="6FB0E3EB" w:rsidR="00CD4C64" w:rsidRDefault="00CD4C64" w:rsidP="00CD4C64">
      <w:pPr>
        <w:pStyle w:val="TableCaption"/>
      </w:pPr>
      <w:bookmarkStart w:id="154" w:name="_Ref121245042"/>
      <w:bookmarkStart w:id="155" w:name="_Toc86921891"/>
      <w:bookmarkStart w:id="156" w:name="_Toc107582221"/>
      <w:bookmarkStart w:id="157" w:name="_Toc152578343"/>
      <w:bookmarkStart w:id="158" w:name="_Toc164411280"/>
      <w:r>
        <w:lastRenderedPageBreak/>
        <w:t>Table </w:t>
      </w:r>
      <w:r w:rsidR="008647EF">
        <w:fldChar w:fldCharType="begin"/>
      </w:r>
      <w:r w:rsidR="008647EF">
        <w:instrText xml:space="preserve"> STYLEREF 1 \s </w:instrText>
      </w:r>
      <w:r w:rsidR="008647EF">
        <w:fldChar w:fldCharType="separate"/>
      </w:r>
      <w:r w:rsidR="008647EF">
        <w:rPr>
          <w:noProof/>
        </w:rPr>
        <w:t>5</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6</w:t>
      </w:r>
      <w:r w:rsidR="008647EF">
        <w:fldChar w:fldCharType="end"/>
      </w:r>
      <w:bookmarkEnd w:id="154"/>
      <w:r>
        <w:tab/>
        <w:t>Vulnerability Matrix as a Product of Risk Level and Adaptive Capacity</w:t>
      </w:r>
      <w:bookmarkEnd w:id="155"/>
      <w:bookmarkEnd w:id="156"/>
      <w:bookmarkEnd w:id="157"/>
      <w:bookmarkEnd w:id="158"/>
    </w:p>
    <w:tbl>
      <w:tblPr>
        <w:tblStyle w:val="BlueTable"/>
        <w:tblW w:w="5000" w:type="pct"/>
        <w:tblLayout w:type="fixed"/>
        <w:tblLook w:val="0620" w:firstRow="1" w:lastRow="0" w:firstColumn="0" w:lastColumn="0" w:noHBand="1" w:noVBand="1"/>
      </w:tblPr>
      <w:tblGrid>
        <w:gridCol w:w="1555"/>
        <w:gridCol w:w="2018"/>
        <w:gridCol w:w="2018"/>
        <w:gridCol w:w="2018"/>
        <w:gridCol w:w="2019"/>
      </w:tblGrid>
      <w:tr w:rsidR="00CD4C64" w:rsidRPr="00F16486" w14:paraId="7655B699" w14:textId="77777777" w:rsidTr="00F65818">
        <w:trPr>
          <w:cnfStyle w:val="100000000000" w:firstRow="1" w:lastRow="0" w:firstColumn="0" w:lastColumn="0" w:oddVBand="0" w:evenVBand="0" w:oddHBand="0" w:evenHBand="0" w:firstRowFirstColumn="0" w:firstRowLastColumn="0" w:lastRowFirstColumn="0" w:lastRowLastColumn="0"/>
        </w:trPr>
        <w:tc>
          <w:tcPr>
            <w:tcW w:w="1555" w:type="dxa"/>
            <w:vMerge w:val="restart"/>
            <w:noWrap/>
            <w:hideMark/>
          </w:tcPr>
          <w:p w14:paraId="594C4E15" w14:textId="77777777" w:rsidR="00CD4C64" w:rsidRPr="00F16486" w:rsidRDefault="00CD4C64" w:rsidP="00F65818">
            <w:pPr>
              <w:pStyle w:val="TableHeading"/>
              <w:jc w:val="center"/>
              <w:rPr>
                <w:rFonts w:eastAsia="Times New Roman"/>
                <w:lang w:eastAsia="en-AU"/>
              </w:rPr>
            </w:pPr>
            <w:r w:rsidRPr="00F16486">
              <w:rPr>
                <w:rFonts w:eastAsia="Times New Roman"/>
                <w:lang w:eastAsia="en-AU"/>
              </w:rPr>
              <w:t>Risk Level</w:t>
            </w:r>
            <w:r w:rsidRPr="00F16486" w:rsidDel="00E26EA3">
              <w:rPr>
                <w:rFonts w:eastAsia="Times New Roman"/>
                <w:lang w:eastAsia="en-AU"/>
              </w:rPr>
              <w:t xml:space="preserve"> </w:t>
            </w:r>
          </w:p>
        </w:tc>
        <w:tc>
          <w:tcPr>
            <w:tcW w:w="8073" w:type="dxa"/>
            <w:gridSpan w:val="4"/>
            <w:noWrap/>
            <w:hideMark/>
          </w:tcPr>
          <w:p w14:paraId="5F5C632E" w14:textId="77777777" w:rsidR="00CD4C64" w:rsidRPr="00F16486" w:rsidRDefault="00CD4C64" w:rsidP="00F65818">
            <w:pPr>
              <w:pStyle w:val="TableHeading"/>
              <w:jc w:val="center"/>
              <w:rPr>
                <w:rFonts w:eastAsia="Times New Roman"/>
                <w:lang w:eastAsia="en-AU"/>
              </w:rPr>
            </w:pPr>
            <w:r w:rsidRPr="00F16486">
              <w:rPr>
                <w:rFonts w:eastAsia="Times New Roman"/>
                <w:lang w:eastAsia="en-AU"/>
              </w:rPr>
              <w:t>Adaptive Capacity</w:t>
            </w:r>
          </w:p>
        </w:tc>
      </w:tr>
      <w:tr w:rsidR="00CD4C64" w:rsidRPr="00F16486" w14:paraId="4717D52D" w14:textId="77777777" w:rsidTr="00F65818">
        <w:tc>
          <w:tcPr>
            <w:tcW w:w="1555" w:type="dxa"/>
            <w:vMerge/>
            <w:noWrap/>
            <w:hideMark/>
          </w:tcPr>
          <w:p w14:paraId="514AF215" w14:textId="77777777" w:rsidR="00CD4C64" w:rsidRPr="00F16486" w:rsidRDefault="00CD4C64" w:rsidP="00F65818">
            <w:pPr>
              <w:pStyle w:val="TableText"/>
              <w:jc w:val="center"/>
              <w:rPr>
                <w:rFonts w:eastAsia="Times New Roman"/>
                <w:lang w:eastAsia="en-AU"/>
              </w:rPr>
            </w:pPr>
          </w:p>
        </w:tc>
        <w:tc>
          <w:tcPr>
            <w:tcW w:w="2018" w:type="dxa"/>
            <w:shd w:val="clear" w:color="auto" w:fill="BCE9FE" w:themeFill="accent1" w:themeFillTint="33"/>
            <w:noWrap/>
            <w:hideMark/>
          </w:tcPr>
          <w:p w14:paraId="4335FC0D" w14:textId="77777777" w:rsidR="00CD4C64" w:rsidRPr="00F16486" w:rsidRDefault="00CD4C64" w:rsidP="00F65818">
            <w:pPr>
              <w:pStyle w:val="TableText"/>
              <w:jc w:val="center"/>
              <w:rPr>
                <w:rFonts w:eastAsia="Times New Roman"/>
                <w:lang w:eastAsia="en-AU"/>
              </w:rPr>
            </w:pPr>
            <w:r w:rsidRPr="00F16486">
              <w:rPr>
                <w:rFonts w:eastAsia="Times New Roman"/>
                <w:lang w:eastAsia="en-AU"/>
              </w:rPr>
              <w:t>Low</w:t>
            </w:r>
          </w:p>
        </w:tc>
        <w:tc>
          <w:tcPr>
            <w:tcW w:w="2018" w:type="dxa"/>
            <w:shd w:val="clear" w:color="auto" w:fill="BCE9FE" w:themeFill="accent1" w:themeFillTint="33"/>
            <w:noWrap/>
            <w:hideMark/>
          </w:tcPr>
          <w:p w14:paraId="09135232" w14:textId="77777777" w:rsidR="00CD4C64" w:rsidRPr="00F16486" w:rsidRDefault="00CD4C64" w:rsidP="00F65818">
            <w:pPr>
              <w:pStyle w:val="TableText"/>
              <w:jc w:val="center"/>
              <w:rPr>
                <w:rFonts w:eastAsia="Times New Roman"/>
                <w:lang w:eastAsia="en-AU"/>
              </w:rPr>
            </w:pPr>
            <w:r w:rsidRPr="00F16486">
              <w:rPr>
                <w:rFonts w:eastAsia="Times New Roman"/>
                <w:lang w:eastAsia="en-AU"/>
              </w:rPr>
              <w:t>Moderate</w:t>
            </w:r>
          </w:p>
        </w:tc>
        <w:tc>
          <w:tcPr>
            <w:tcW w:w="2018" w:type="dxa"/>
            <w:shd w:val="clear" w:color="auto" w:fill="BCE9FE" w:themeFill="accent1" w:themeFillTint="33"/>
            <w:noWrap/>
            <w:hideMark/>
          </w:tcPr>
          <w:p w14:paraId="454508FA" w14:textId="77777777" w:rsidR="00CD4C64" w:rsidRPr="00F16486" w:rsidRDefault="00CD4C64" w:rsidP="00F65818">
            <w:pPr>
              <w:pStyle w:val="TableText"/>
              <w:jc w:val="center"/>
              <w:rPr>
                <w:rFonts w:eastAsia="Times New Roman"/>
                <w:lang w:eastAsia="en-AU"/>
              </w:rPr>
            </w:pPr>
            <w:r w:rsidRPr="00F16486">
              <w:rPr>
                <w:rFonts w:eastAsia="Times New Roman"/>
                <w:lang w:eastAsia="en-AU"/>
              </w:rPr>
              <w:t>High</w:t>
            </w:r>
          </w:p>
        </w:tc>
        <w:tc>
          <w:tcPr>
            <w:tcW w:w="2019" w:type="dxa"/>
            <w:shd w:val="clear" w:color="auto" w:fill="BCE9FE" w:themeFill="accent1" w:themeFillTint="33"/>
            <w:noWrap/>
            <w:hideMark/>
          </w:tcPr>
          <w:p w14:paraId="04763D3C" w14:textId="77777777" w:rsidR="00CD4C64" w:rsidRPr="00F16486" w:rsidRDefault="00CD4C64" w:rsidP="00F65818">
            <w:pPr>
              <w:pStyle w:val="TableText"/>
              <w:jc w:val="center"/>
              <w:rPr>
                <w:rFonts w:eastAsia="Times New Roman"/>
                <w:lang w:eastAsia="en-AU"/>
              </w:rPr>
            </w:pPr>
            <w:r w:rsidRPr="00F16486">
              <w:rPr>
                <w:rFonts w:eastAsia="Times New Roman"/>
                <w:lang w:eastAsia="en-AU"/>
              </w:rPr>
              <w:t>Very High</w:t>
            </w:r>
          </w:p>
        </w:tc>
      </w:tr>
      <w:tr w:rsidR="00CD4C64" w:rsidRPr="00F16486" w14:paraId="7EA77EDA" w14:textId="77777777" w:rsidTr="00F65818">
        <w:tc>
          <w:tcPr>
            <w:tcW w:w="1555" w:type="dxa"/>
            <w:shd w:val="clear" w:color="auto" w:fill="BCE9FE" w:themeFill="accent1" w:themeFillTint="33"/>
            <w:noWrap/>
            <w:hideMark/>
          </w:tcPr>
          <w:p w14:paraId="785A09E4" w14:textId="77777777" w:rsidR="00CD4C64" w:rsidRPr="00F16486" w:rsidRDefault="00CD4C64" w:rsidP="00F65818">
            <w:pPr>
              <w:pStyle w:val="TableText"/>
              <w:rPr>
                <w:rFonts w:eastAsia="Times New Roman"/>
                <w:lang w:eastAsia="en-AU"/>
              </w:rPr>
            </w:pPr>
            <w:r>
              <w:rPr>
                <w:rFonts w:eastAsia="Times New Roman"/>
                <w:lang w:eastAsia="en-AU"/>
              </w:rPr>
              <w:t>E</w:t>
            </w:r>
            <w:r w:rsidRPr="00F16486">
              <w:rPr>
                <w:rFonts w:eastAsia="Times New Roman"/>
                <w:lang w:eastAsia="en-AU"/>
              </w:rPr>
              <w:t>xtreme</w:t>
            </w:r>
          </w:p>
        </w:tc>
        <w:tc>
          <w:tcPr>
            <w:tcW w:w="2018" w:type="dxa"/>
            <w:shd w:val="clear" w:color="auto" w:fill="D9D9D9" w:themeFill="background1" w:themeFillShade="D9"/>
            <w:noWrap/>
            <w:hideMark/>
          </w:tcPr>
          <w:p w14:paraId="313A7B45" w14:textId="77777777" w:rsidR="00CD4C64" w:rsidRPr="00EE6165" w:rsidRDefault="00CD4C64" w:rsidP="00F65818">
            <w:pPr>
              <w:pStyle w:val="TableText"/>
              <w:jc w:val="center"/>
              <w:rPr>
                <w:rFonts w:eastAsia="Times New Roman"/>
                <w:b/>
                <w:bCs/>
                <w:color w:val="FF0000"/>
                <w:lang w:eastAsia="en-AU"/>
              </w:rPr>
            </w:pPr>
            <w:r>
              <w:rPr>
                <w:rFonts w:eastAsia="Times New Roman"/>
                <w:b/>
                <w:bCs/>
                <w:color w:val="FF0000"/>
                <w:lang w:eastAsia="en-AU"/>
              </w:rPr>
              <w:t>E</w:t>
            </w:r>
            <w:r w:rsidRPr="00EE6165">
              <w:rPr>
                <w:rFonts w:eastAsia="Times New Roman"/>
                <w:b/>
                <w:bCs/>
                <w:color w:val="FF0000"/>
                <w:lang w:eastAsia="en-AU"/>
              </w:rPr>
              <w:t>xtreme</w:t>
            </w:r>
          </w:p>
        </w:tc>
        <w:tc>
          <w:tcPr>
            <w:tcW w:w="2018" w:type="dxa"/>
            <w:shd w:val="clear" w:color="auto" w:fill="D9D9D9" w:themeFill="background1" w:themeFillShade="D9"/>
            <w:noWrap/>
            <w:hideMark/>
          </w:tcPr>
          <w:p w14:paraId="2B97E141" w14:textId="77777777" w:rsidR="00CD4C64" w:rsidRPr="006F05DC" w:rsidRDefault="00CD4C64" w:rsidP="00F65818">
            <w:pPr>
              <w:pStyle w:val="TableText"/>
              <w:jc w:val="center"/>
              <w:rPr>
                <w:rFonts w:eastAsia="Times New Roman"/>
                <w:b/>
                <w:bCs/>
                <w:color w:val="FF0000"/>
                <w:lang w:eastAsia="en-AU"/>
              </w:rPr>
            </w:pPr>
            <w:r>
              <w:rPr>
                <w:rFonts w:eastAsia="Times New Roman"/>
                <w:b/>
                <w:bCs/>
                <w:color w:val="FF0000"/>
                <w:lang w:eastAsia="en-AU"/>
              </w:rPr>
              <w:t>E</w:t>
            </w:r>
            <w:r w:rsidRPr="006F05DC">
              <w:rPr>
                <w:rFonts w:eastAsia="Times New Roman"/>
                <w:b/>
                <w:bCs/>
                <w:color w:val="FF0000"/>
                <w:lang w:eastAsia="en-AU"/>
              </w:rPr>
              <w:t>xtreme</w:t>
            </w:r>
          </w:p>
        </w:tc>
        <w:tc>
          <w:tcPr>
            <w:tcW w:w="2018" w:type="dxa"/>
            <w:shd w:val="clear" w:color="auto" w:fill="D9D9D9" w:themeFill="background1" w:themeFillShade="D9"/>
            <w:noWrap/>
            <w:hideMark/>
          </w:tcPr>
          <w:p w14:paraId="7CA9569F" w14:textId="77777777" w:rsidR="00CD4C64" w:rsidRPr="006F05DC" w:rsidRDefault="00CD4C64" w:rsidP="00F65818">
            <w:pPr>
              <w:pStyle w:val="TableText"/>
              <w:jc w:val="center"/>
              <w:rPr>
                <w:rFonts w:eastAsia="Times New Roman"/>
                <w:b/>
                <w:bCs/>
                <w:lang w:eastAsia="en-AU"/>
              </w:rPr>
            </w:pPr>
            <w:r>
              <w:rPr>
                <w:rFonts w:eastAsia="Times New Roman"/>
                <w:b/>
                <w:bCs/>
                <w:color w:val="FFC000"/>
                <w:lang w:eastAsia="en-AU"/>
              </w:rPr>
              <w:t>H</w:t>
            </w:r>
            <w:r w:rsidRPr="006F05DC">
              <w:rPr>
                <w:rFonts w:eastAsia="Times New Roman"/>
                <w:b/>
                <w:bCs/>
                <w:color w:val="FFC000"/>
                <w:lang w:eastAsia="en-AU"/>
              </w:rPr>
              <w:t>igh</w:t>
            </w:r>
          </w:p>
        </w:tc>
        <w:tc>
          <w:tcPr>
            <w:tcW w:w="2019" w:type="dxa"/>
            <w:shd w:val="clear" w:color="auto" w:fill="D9D9D9" w:themeFill="background1" w:themeFillShade="D9"/>
            <w:noWrap/>
            <w:hideMark/>
          </w:tcPr>
          <w:p w14:paraId="076D1411" w14:textId="77777777" w:rsidR="00CD4C64" w:rsidRPr="006F05DC" w:rsidRDefault="00CD4C64" w:rsidP="00F65818">
            <w:pPr>
              <w:pStyle w:val="TableText"/>
              <w:jc w:val="center"/>
              <w:rPr>
                <w:rFonts w:eastAsia="Times New Roman"/>
                <w:b/>
                <w:bCs/>
                <w:lang w:eastAsia="en-AU"/>
              </w:rPr>
            </w:pPr>
            <w:r>
              <w:rPr>
                <w:rFonts w:eastAsia="Times New Roman"/>
                <w:b/>
                <w:bCs/>
                <w:color w:val="FFFF00"/>
                <w:lang w:eastAsia="en-AU"/>
              </w:rPr>
              <w:t>M</w:t>
            </w:r>
            <w:r w:rsidRPr="006F05DC">
              <w:rPr>
                <w:rFonts w:eastAsia="Times New Roman"/>
                <w:b/>
                <w:bCs/>
                <w:color w:val="FFFF00"/>
                <w:lang w:eastAsia="en-AU"/>
              </w:rPr>
              <w:t>edium</w:t>
            </w:r>
          </w:p>
        </w:tc>
      </w:tr>
      <w:tr w:rsidR="00CD4C64" w:rsidRPr="00F16486" w14:paraId="6A47889B" w14:textId="77777777" w:rsidTr="00F65818">
        <w:tc>
          <w:tcPr>
            <w:tcW w:w="1555" w:type="dxa"/>
            <w:shd w:val="clear" w:color="auto" w:fill="BCE9FE" w:themeFill="accent1" w:themeFillTint="33"/>
            <w:noWrap/>
            <w:hideMark/>
          </w:tcPr>
          <w:p w14:paraId="7ABA779D" w14:textId="77777777" w:rsidR="00CD4C64" w:rsidRPr="00F16486" w:rsidRDefault="00CD4C64" w:rsidP="00F65818">
            <w:pPr>
              <w:pStyle w:val="TableText"/>
              <w:rPr>
                <w:rFonts w:eastAsia="Times New Roman"/>
                <w:lang w:eastAsia="en-AU"/>
              </w:rPr>
            </w:pPr>
            <w:r>
              <w:rPr>
                <w:rFonts w:eastAsia="Times New Roman"/>
                <w:lang w:eastAsia="en-AU"/>
              </w:rPr>
              <w:t>H</w:t>
            </w:r>
            <w:r w:rsidRPr="00F16486">
              <w:rPr>
                <w:rFonts w:eastAsia="Times New Roman"/>
                <w:lang w:eastAsia="en-AU"/>
              </w:rPr>
              <w:t>igh</w:t>
            </w:r>
          </w:p>
        </w:tc>
        <w:tc>
          <w:tcPr>
            <w:tcW w:w="2018" w:type="dxa"/>
            <w:shd w:val="clear" w:color="auto" w:fill="D9D9D9" w:themeFill="background1" w:themeFillShade="D9"/>
            <w:noWrap/>
            <w:hideMark/>
          </w:tcPr>
          <w:p w14:paraId="5E8BBD24" w14:textId="77777777" w:rsidR="00CD4C64" w:rsidRPr="006F05DC" w:rsidRDefault="00CD4C64" w:rsidP="00F65818">
            <w:pPr>
              <w:pStyle w:val="TableText"/>
              <w:jc w:val="center"/>
              <w:rPr>
                <w:rFonts w:eastAsia="Times New Roman"/>
                <w:b/>
                <w:bCs/>
                <w:lang w:eastAsia="en-AU"/>
              </w:rPr>
            </w:pPr>
            <w:r>
              <w:rPr>
                <w:rFonts w:eastAsia="Times New Roman"/>
                <w:b/>
                <w:bCs/>
                <w:color w:val="FF0000"/>
                <w:lang w:eastAsia="en-AU"/>
              </w:rPr>
              <w:t>E</w:t>
            </w:r>
            <w:r w:rsidRPr="006F05DC">
              <w:rPr>
                <w:rFonts w:eastAsia="Times New Roman"/>
                <w:b/>
                <w:bCs/>
                <w:color w:val="FF0000"/>
                <w:lang w:eastAsia="en-AU"/>
              </w:rPr>
              <w:t>xtreme</w:t>
            </w:r>
          </w:p>
        </w:tc>
        <w:tc>
          <w:tcPr>
            <w:tcW w:w="2018" w:type="dxa"/>
            <w:shd w:val="clear" w:color="auto" w:fill="D9D9D9" w:themeFill="background1" w:themeFillShade="D9"/>
            <w:noWrap/>
            <w:hideMark/>
          </w:tcPr>
          <w:p w14:paraId="31E3F8B4" w14:textId="77777777" w:rsidR="00CD4C64" w:rsidRPr="006F05DC" w:rsidRDefault="00CD4C64" w:rsidP="00F65818">
            <w:pPr>
              <w:pStyle w:val="TableText"/>
              <w:jc w:val="center"/>
              <w:rPr>
                <w:rFonts w:eastAsia="Times New Roman"/>
                <w:b/>
                <w:bCs/>
                <w:lang w:eastAsia="en-AU"/>
              </w:rPr>
            </w:pPr>
            <w:r>
              <w:rPr>
                <w:rFonts w:eastAsia="Times New Roman"/>
                <w:b/>
                <w:bCs/>
                <w:color w:val="FFC000"/>
                <w:lang w:eastAsia="en-AU"/>
              </w:rPr>
              <w:t>H</w:t>
            </w:r>
            <w:r w:rsidRPr="006F05DC">
              <w:rPr>
                <w:rFonts w:eastAsia="Times New Roman"/>
                <w:b/>
                <w:bCs/>
                <w:color w:val="FFC000"/>
                <w:lang w:eastAsia="en-AU"/>
              </w:rPr>
              <w:t>igh</w:t>
            </w:r>
          </w:p>
        </w:tc>
        <w:tc>
          <w:tcPr>
            <w:tcW w:w="2018" w:type="dxa"/>
            <w:shd w:val="clear" w:color="auto" w:fill="D9D9D9" w:themeFill="background1" w:themeFillShade="D9"/>
            <w:noWrap/>
            <w:hideMark/>
          </w:tcPr>
          <w:p w14:paraId="11C8D714" w14:textId="77777777" w:rsidR="00CD4C64" w:rsidRPr="006F05DC" w:rsidRDefault="00CD4C64" w:rsidP="00F65818">
            <w:pPr>
              <w:pStyle w:val="TableText"/>
              <w:jc w:val="center"/>
              <w:rPr>
                <w:rFonts w:eastAsia="Times New Roman"/>
                <w:b/>
                <w:bCs/>
                <w:lang w:eastAsia="en-AU"/>
              </w:rPr>
            </w:pPr>
            <w:r>
              <w:rPr>
                <w:rFonts w:eastAsia="Times New Roman"/>
                <w:b/>
                <w:bCs/>
                <w:color w:val="FFFF00"/>
                <w:lang w:eastAsia="en-AU"/>
              </w:rPr>
              <w:t>M</w:t>
            </w:r>
            <w:r w:rsidRPr="006F05DC">
              <w:rPr>
                <w:rFonts w:eastAsia="Times New Roman"/>
                <w:b/>
                <w:bCs/>
                <w:color w:val="FFFF00"/>
                <w:lang w:eastAsia="en-AU"/>
              </w:rPr>
              <w:t>edium</w:t>
            </w:r>
          </w:p>
        </w:tc>
        <w:tc>
          <w:tcPr>
            <w:tcW w:w="2019" w:type="dxa"/>
            <w:shd w:val="clear" w:color="auto" w:fill="D9D9D9" w:themeFill="background1" w:themeFillShade="D9"/>
            <w:noWrap/>
            <w:hideMark/>
          </w:tcPr>
          <w:p w14:paraId="60EFCAE4" w14:textId="77777777" w:rsidR="00CD4C64" w:rsidRPr="006F05DC" w:rsidRDefault="00CD4C64" w:rsidP="00F65818">
            <w:pPr>
              <w:pStyle w:val="TableText"/>
              <w:jc w:val="center"/>
              <w:rPr>
                <w:rFonts w:eastAsia="Times New Roman"/>
                <w:b/>
                <w:bCs/>
                <w:lang w:eastAsia="en-AU"/>
              </w:rPr>
            </w:pPr>
            <w:r>
              <w:rPr>
                <w:rFonts w:eastAsia="Times New Roman"/>
                <w:b/>
                <w:bCs/>
                <w:color w:val="FFFF00"/>
                <w:lang w:eastAsia="en-AU"/>
              </w:rPr>
              <w:t>M</w:t>
            </w:r>
            <w:r w:rsidRPr="006F05DC">
              <w:rPr>
                <w:rFonts w:eastAsia="Times New Roman"/>
                <w:b/>
                <w:bCs/>
                <w:color w:val="FFFF00"/>
                <w:lang w:eastAsia="en-AU"/>
              </w:rPr>
              <w:t>edium</w:t>
            </w:r>
          </w:p>
        </w:tc>
      </w:tr>
      <w:tr w:rsidR="00CD4C64" w:rsidRPr="00F16486" w14:paraId="76C604E9" w14:textId="77777777" w:rsidTr="00F65818">
        <w:tc>
          <w:tcPr>
            <w:tcW w:w="1555" w:type="dxa"/>
            <w:shd w:val="clear" w:color="auto" w:fill="BCE9FE" w:themeFill="accent1" w:themeFillTint="33"/>
            <w:noWrap/>
            <w:hideMark/>
          </w:tcPr>
          <w:p w14:paraId="5550A535" w14:textId="77777777" w:rsidR="00CD4C64" w:rsidRPr="00F16486" w:rsidRDefault="00CD4C64" w:rsidP="00F65818">
            <w:pPr>
              <w:pStyle w:val="TableText"/>
              <w:rPr>
                <w:rFonts w:eastAsia="Times New Roman"/>
                <w:lang w:eastAsia="en-AU"/>
              </w:rPr>
            </w:pPr>
            <w:r>
              <w:rPr>
                <w:rFonts w:eastAsia="Times New Roman"/>
                <w:lang w:eastAsia="en-AU"/>
              </w:rPr>
              <w:t>M</w:t>
            </w:r>
            <w:r w:rsidRPr="00F16486">
              <w:rPr>
                <w:rFonts w:eastAsia="Times New Roman"/>
                <w:lang w:eastAsia="en-AU"/>
              </w:rPr>
              <w:t>edium</w:t>
            </w:r>
          </w:p>
        </w:tc>
        <w:tc>
          <w:tcPr>
            <w:tcW w:w="2018" w:type="dxa"/>
            <w:shd w:val="clear" w:color="auto" w:fill="D9D9D9" w:themeFill="background1" w:themeFillShade="D9"/>
            <w:noWrap/>
            <w:hideMark/>
          </w:tcPr>
          <w:p w14:paraId="11DEC89C" w14:textId="77777777" w:rsidR="00CD4C64" w:rsidRPr="006F05DC" w:rsidRDefault="00CD4C64" w:rsidP="00F65818">
            <w:pPr>
              <w:pStyle w:val="TableText"/>
              <w:jc w:val="center"/>
              <w:rPr>
                <w:rFonts w:eastAsia="Times New Roman"/>
                <w:b/>
                <w:bCs/>
                <w:lang w:eastAsia="en-AU"/>
              </w:rPr>
            </w:pPr>
            <w:r>
              <w:rPr>
                <w:rFonts w:eastAsia="Times New Roman"/>
                <w:b/>
                <w:bCs/>
                <w:color w:val="FFC000"/>
                <w:lang w:eastAsia="en-AU"/>
              </w:rPr>
              <w:t>H</w:t>
            </w:r>
            <w:r w:rsidRPr="006F05DC">
              <w:rPr>
                <w:rFonts w:eastAsia="Times New Roman"/>
                <w:b/>
                <w:bCs/>
                <w:color w:val="FFC000"/>
                <w:lang w:eastAsia="en-AU"/>
              </w:rPr>
              <w:t>igh</w:t>
            </w:r>
          </w:p>
        </w:tc>
        <w:tc>
          <w:tcPr>
            <w:tcW w:w="2018" w:type="dxa"/>
            <w:shd w:val="clear" w:color="auto" w:fill="D9D9D9" w:themeFill="background1" w:themeFillShade="D9"/>
            <w:noWrap/>
            <w:hideMark/>
          </w:tcPr>
          <w:p w14:paraId="2AC2C0CB" w14:textId="77777777" w:rsidR="00CD4C64" w:rsidRPr="006F05DC" w:rsidRDefault="00CD4C64" w:rsidP="00F65818">
            <w:pPr>
              <w:pStyle w:val="TableText"/>
              <w:jc w:val="center"/>
              <w:rPr>
                <w:rFonts w:eastAsia="Times New Roman"/>
                <w:b/>
                <w:bCs/>
                <w:lang w:eastAsia="en-AU"/>
              </w:rPr>
            </w:pPr>
            <w:r>
              <w:rPr>
                <w:rFonts w:eastAsia="Times New Roman"/>
                <w:b/>
                <w:bCs/>
                <w:color w:val="FFFF00"/>
                <w:lang w:eastAsia="en-AU"/>
              </w:rPr>
              <w:t>M</w:t>
            </w:r>
            <w:r w:rsidRPr="006F05DC">
              <w:rPr>
                <w:rFonts w:eastAsia="Times New Roman"/>
                <w:b/>
                <w:bCs/>
                <w:color w:val="FFFF00"/>
                <w:lang w:eastAsia="en-AU"/>
              </w:rPr>
              <w:t>edium</w:t>
            </w:r>
          </w:p>
        </w:tc>
        <w:tc>
          <w:tcPr>
            <w:tcW w:w="2018" w:type="dxa"/>
            <w:shd w:val="clear" w:color="auto" w:fill="D9D9D9" w:themeFill="background1" w:themeFillShade="D9"/>
            <w:noWrap/>
            <w:hideMark/>
          </w:tcPr>
          <w:p w14:paraId="0C6B0776" w14:textId="77777777" w:rsidR="00CD4C64" w:rsidRPr="006F05DC" w:rsidRDefault="00CD4C64" w:rsidP="00F65818">
            <w:pPr>
              <w:pStyle w:val="TableText"/>
              <w:jc w:val="center"/>
              <w:rPr>
                <w:rFonts w:eastAsia="Times New Roman"/>
                <w:b/>
                <w:bCs/>
                <w:color w:val="00B050"/>
                <w:lang w:eastAsia="en-AU"/>
              </w:rPr>
            </w:pPr>
            <w:r>
              <w:rPr>
                <w:rFonts w:eastAsia="Times New Roman"/>
                <w:b/>
                <w:bCs/>
                <w:color w:val="FFFF00"/>
                <w:lang w:eastAsia="en-AU"/>
              </w:rPr>
              <w:t>M</w:t>
            </w:r>
            <w:r w:rsidRPr="006F05DC">
              <w:rPr>
                <w:rFonts w:eastAsia="Times New Roman"/>
                <w:b/>
                <w:bCs/>
                <w:color w:val="FFFF00"/>
                <w:lang w:eastAsia="en-AU"/>
              </w:rPr>
              <w:t>edium</w:t>
            </w:r>
          </w:p>
        </w:tc>
        <w:tc>
          <w:tcPr>
            <w:tcW w:w="2019" w:type="dxa"/>
            <w:shd w:val="clear" w:color="auto" w:fill="D9D9D9" w:themeFill="background1" w:themeFillShade="D9"/>
            <w:noWrap/>
            <w:hideMark/>
          </w:tcPr>
          <w:p w14:paraId="0109F9EF" w14:textId="77777777" w:rsidR="00CD4C64" w:rsidRPr="006F05DC" w:rsidRDefault="00CD4C64" w:rsidP="00F65818">
            <w:pPr>
              <w:pStyle w:val="TableText"/>
              <w:jc w:val="center"/>
              <w:rPr>
                <w:rFonts w:eastAsia="Times New Roman"/>
                <w:b/>
                <w:bCs/>
                <w:color w:val="00B050"/>
                <w:lang w:eastAsia="en-AU"/>
              </w:rPr>
            </w:pPr>
            <w:r w:rsidRPr="006F05DC">
              <w:rPr>
                <w:rFonts w:eastAsia="Times New Roman"/>
                <w:b/>
                <w:bCs/>
                <w:color w:val="00B050"/>
                <w:lang w:eastAsia="en-AU"/>
              </w:rPr>
              <w:t>Low</w:t>
            </w:r>
          </w:p>
        </w:tc>
      </w:tr>
      <w:tr w:rsidR="00CD4C64" w:rsidRPr="00F16486" w14:paraId="09AAAEE7" w14:textId="77777777" w:rsidTr="00F65818">
        <w:tc>
          <w:tcPr>
            <w:tcW w:w="1555" w:type="dxa"/>
            <w:shd w:val="clear" w:color="auto" w:fill="BCE9FE" w:themeFill="accent1" w:themeFillTint="33"/>
            <w:noWrap/>
            <w:hideMark/>
          </w:tcPr>
          <w:p w14:paraId="25B75C9A" w14:textId="77777777" w:rsidR="00CD4C64" w:rsidRPr="00F16486" w:rsidRDefault="00CD4C64" w:rsidP="00F65818">
            <w:pPr>
              <w:pStyle w:val="TableText"/>
              <w:rPr>
                <w:rFonts w:eastAsia="Times New Roman"/>
                <w:lang w:eastAsia="en-AU"/>
              </w:rPr>
            </w:pPr>
            <w:r>
              <w:rPr>
                <w:rFonts w:eastAsia="Times New Roman"/>
                <w:lang w:eastAsia="en-AU"/>
              </w:rPr>
              <w:t>L</w:t>
            </w:r>
            <w:r w:rsidRPr="00F16486">
              <w:rPr>
                <w:rFonts w:eastAsia="Times New Roman"/>
                <w:lang w:eastAsia="en-AU"/>
              </w:rPr>
              <w:t>ow</w:t>
            </w:r>
          </w:p>
        </w:tc>
        <w:tc>
          <w:tcPr>
            <w:tcW w:w="2018" w:type="dxa"/>
            <w:shd w:val="clear" w:color="auto" w:fill="D9D9D9" w:themeFill="background1" w:themeFillShade="D9"/>
            <w:noWrap/>
            <w:hideMark/>
          </w:tcPr>
          <w:p w14:paraId="06684C00" w14:textId="77777777" w:rsidR="00CD4C64" w:rsidRPr="006F05DC" w:rsidRDefault="00CD4C64" w:rsidP="00F65818">
            <w:pPr>
              <w:pStyle w:val="TableText"/>
              <w:jc w:val="center"/>
              <w:rPr>
                <w:rFonts w:eastAsia="Times New Roman"/>
                <w:b/>
                <w:bCs/>
                <w:lang w:eastAsia="en-AU"/>
              </w:rPr>
            </w:pPr>
            <w:r>
              <w:rPr>
                <w:rFonts w:eastAsia="Times New Roman"/>
                <w:b/>
                <w:bCs/>
                <w:color w:val="FFFF00"/>
                <w:lang w:eastAsia="en-AU"/>
              </w:rPr>
              <w:t>M</w:t>
            </w:r>
            <w:r w:rsidRPr="006F05DC">
              <w:rPr>
                <w:rFonts w:eastAsia="Times New Roman"/>
                <w:b/>
                <w:bCs/>
                <w:color w:val="FFFF00"/>
                <w:lang w:eastAsia="en-AU"/>
              </w:rPr>
              <w:t>edium</w:t>
            </w:r>
          </w:p>
        </w:tc>
        <w:tc>
          <w:tcPr>
            <w:tcW w:w="2018" w:type="dxa"/>
            <w:shd w:val="clear" w:color="auto" w:fill="D9D9D9" w:themeFill="background1" w:themeFillShade="D9"/>
            <w:noWrap/>
            <w:hideMark/>
          </w:tcPr>
          <w:p w14:paraId="6A385D7C" w14:textId="77777777" w:rsidR="00CD4C64" w:rsidRPr="006F05DC" w:rsidRDefault="00CD4C64" w:rsidP="00F65818">
            <w:pPr>
              <w:pStyle w:val="TableText"/>
              <w:jc w:val="center"/>
              <w:rPr>
                <w:rFonts w:eastAsia="Times New Roman"/>
                <w:b/>
                <w:bCs/>
                <w:lang w:eastAsia="en-AU"/>
              </w:rPr>
            </w:pPr>
            <w:r>
              <w:rPr>
                <w:rFonts w:eastAsia="Times New Roman"/>
                <w:b/>
                <w:bCs/>
                <w:color w:val="FFFF00"/>
                <w:lang w:eastAsia="en-AU"/>
              </w:rPr>
              <w:t>M</w:t>
            </w:r>
            <w:r w:rsidRPr="006F05DC">
              <w:rPr>
                <w:rFonts w:eastAsia="Times New Roman"/>
                <w:b/>
                <w:bCs/>
                <w:color w:val="FFFF00"/>
                <w:lang w:eastAsia="en-AU"/>
              </w:rPr>
              <w:t>edium</w:t>
            </w:r>
          </w:p>
        </w:tc>
        <w:tc>
          <w:tcPr>
            <w:tcW w:w="2018" w:type="dxa"/>
            <w:shd w:val="clear" w:color="auto" w:fill="D9D9D9" w:themeFill="background1" w:themeFillShade="D9"/>
            <w:noWrap/>
            <w:hideMark/>
          </w:tcPr>
          <w:p w14:paraId="0F6754D0" w14:textId="77777777" w:rsidR="00CD4C64" w:rsidRPr="006F05DC" w:rsidRDefault="00CD4C64" w:rsidP="00F65818">
            <w:pPr>
              <w:pStyle w:val="TableText"/>
              <w:jc w:val="center"/>
              <w:rPr>
                <w:rFonts w:eastAsia="Times New Roman"/>
                <w:b/>
                <w:bCs/>
                <w:color w:val="00B050"/>
                <w:lang w:eastAsia="en-AU"/>
              </w:rPr>
            </w:pPr>
            <w:r w:rsidRPr="006F05DC">
              <w:rPr>
                <w:rFonts w:eastAsia="Times New Roman"/>
                <w:b/>
                <w:bCs/>
                <w:color w:val="00B050"/>
                <w:lang w:eastAsia="en-AU"/>
              </w:rPr>
              <w:t>Low</w:t>
            </w:r>
          </w:p>
        </w:tc>
        <w:tc>
          <w:tcPr>
            <w:tcW w:w="2019" w:type="dxa"/>
            <w:shd w:val="clear" w:color="auto" w:fill="D9D9D9" w:themeFill="background1" w:themeFillShade="D9"/>
            <w:noWrap/>
            <w:hideMark/>
          </w:tcPr>
          <w:p w14:paraId="0A2D5F38" w14:textId="77777777" w:rsidR="00CD4C64" w:rsidRPr="006F05DC" w:rsidRDefault="00CD4C64" w:rsidP="00F65818">
            <w:pPr>
              <w:pStyle w:val="TableText"/>
              <w:jc w:val="center"/>
              <w:rPr>
                <w:rFonts w:eastAsia="Times New Roman"/>
                <w:b/>
                <w:bCs/>
                <w:color w:val="00B050"/>
                <w:lang w:eastAsia="en-AU"/>
              </w:rPr>
            </w:pPr>
            <w:r w:rsidRPr="006F05DC">
              <w:rPr>
                <w:rFonts w:eastAsia="Times New Roman"/>
                <w:b/>
                <w:bCs/>
                <w:color w:val="00B050"/>
                <w:lang w:eastAsia="en-AU"/>
              </w:rPr>
              <w:t>Low</w:t>
            </w:r>
          </w:p>
        </w:tc>
      </w:tr>
    </w:tbl>
    <w:p w14:paraId="39C32D44" w14:textId="50D23A9D" w:rsidR="0021783F" w:rsidRDefault="003B3761" w:rsidP="009A653C">
      <w:pPr>
        <w:pStyle w:val="BodyText"/>
      </w:pPr>
      <w:r>
        <w:t>Using the methodology described above t</w:t>
      </w:r>
      <w:r w:rsidR="00CD4C64">
        <w:t xml:space="preserve">he overall vulnerability ratings for each category within each management unit for each planning horizon </w:t>
      </w:r>
      <w:r w:rsidRPr="0021783F">
        <w:t xml:space="preserve">were assigned and </w:t>
      </w:r>
      <w:r w:rsidR="005E417D" w:rsidRPr="0021783F">
        <w:t>are</w:t>
      </w:r>
      <w:r w:rsidR="00CD4C64" w:rsidRPr="0021783F">
        <w:t xml:space="preserve"> presented in </w:t>
      </w:r>
      <w:r w:rsidR="00A37448">
        <w:fldChar w:fldCharType="begin"/>
      </w:r>
      <w:r w:rsidR="00A37448">
        <w:instrText xml:space="preserve"> REF _Ref120551004 \h </w:instrText>
      </w:r>
      <w:r w:rsidR="00A37448">
        <w:fldChar w:fldCharType="separate"/>
      </w:r>
      <w:r w:rsidR="00A37448">
        <w:t xml:space="preserve">Table </w:t>
      </w:r>
      <w:r w:rsidR="00A37448">
        <w:rPr>
          <w:noProof/>
        </w:rPr>
        <w:t>5</w:t>
      </w:r>
      <w:r w:rsidR="00A37448">
        <w:noBreakHyphen/>
      </w:r>
      <w:r w:rsidR="00A37448">
        <w:rPr>
          <w:noProof/>
        </w:rPr>
        <w:t>7</w:t>
      </w:r>
      <w:r w:rsidR="00A37448">
        <w:fldChar w:fldCharType="end"/>
      </w:r>
      <w:r w:rsidR="00A37448">
        <w:t xml:space="preserve"> </w:t>
      </w:r>
      <w:r w:rsidR="00CD4C64" w:rsidRPr="0021783F">
        <w:t>and</w:t>
      </w:r>
      <w:r w:rsidR="00A37448">
        <w:t xml:space="preserve"> </w:t>
      </w:r>
      <w:r w:rsidR="00A37448">
        <w:fldChar w:fldCharType="begin"/>
      </w:r>
      <w:r w:rsidR="00A37448">
        <w:instrText xml:space="preserve"> REF _Ref120551005 \h </w:instrText>
      </w:r>
      <w:r w:rsidR="00A37448">
        <w:fldChar w:fldCharType="separate"/>
      </w:r>
      <w:r w:rsidR="00A37448">
        <w:t xml:space="preserve">Table </w:t>
      </w:r>
      <w:r w:rsidR="00A37448">
        <w:rPr>
          <w:noProof/>
        </w:rPr>
        <w:t>5</w:t>
      </w:r>
      <w:r w:rsidR="00A37448">
        <w:noBreakHyphen/>
      </w:r>
      <w:r w:rsidR="00A37448">
        <w:rPr>
          <w:noProof/>
        </w:rPr>
        <w:t>8</w:t>
      </w:r>
      <w:r w:rsidR="00A37448">
        <w:fldChar w:fldCharType="end"/>
      </w:r>
      <w:r w:rsidR="00CD4C64" w:rsidRPr="0021783F">
        <w:t xml:space="preserve"> below for erosion and inundation respectively</w:t>
      </w:r>
      <w:r w:rsidR="0021783F">
        <w:t>. The results are summarised as:</w:t>
      </w:r>
    </w:p>
    <w:p w14:paraId="0525D536" w14:textId="77777777" w:rsidR="0021783F" w:rsidRPr="0021783F" w:rsidRDefault="0021783F" w:rsidP="0021783F">
      <w:pPr>
        <w:pStyle w:val="ListBullet0"/>
      </w:pPr>
      <w:r w:rsidRPr="0021783F">
        <w:t>Erosion presents the largest vulnerability ratings and a higher number of assets at risk than inundation. This is due to the bigger extension of the erosion hazard and the lower adaptative capacity to the erosion hazard.</w:t>
      </w:r>
    </w:p>
    <w:p w14:paraId="7C75E15A" w14:textId="175FB0C4" w:rsidR="009A653C" w:rsidRDefault="00CD4C64" w:rsidP="0021783F">
      <w:pPr>
        <w:pStyle w:val="ListBullet0"/>
      </w:pPr>
      <w:r w:rsidRPr="0021783F">
        <w:t xml:space="preserve">Extreme vulnerability </w:t>
      </w:r>
      <w:r w:rsidR="0021783F" w:rsidRPr="0021783F">
        <w:t xml:space="preserve">to erosion </w:t>
      </w:r>
      <w:r w:rsidRPr="0021783F">
        <w:t>has been identified from the present day onwards</w:t>
      </w:r>
      <w:r w:rsidR="00141155" w:rsidRPr="0021783F">
        <w:t xml:space="preserve"> for more than one asset categor</w:t>
      </w:r>
      <w:r w:rsidR="0021783F" w:rsidRPr="0021783F">
        <w:t>y</w:t>
      </w:r>
      <w:r w:rsidR="00141155" w:rsidRPr="0021783F">
        <w:t xml:space="preserve"> in all MU’s except MU1</w:t>
      </w:r>
      <w:r w:rsidRPr="0021783F">
        <w:t>.</w:t>
      </w:r>
      <w:r>
        <w:t xml:space="preserve"> </w:t>
      </w:r>
      <w:r w:rsidR="0021783F">
        <w:t>Overall t</w:t>
      </w:r>
      <w:r w:rsidR="00CF25FD">
        <w:t xml:space="preserve">he </w:t>
      </w:r>
      <w:r w:rsidR="0021783F">
        <w:t xml:space="preserve">most common </w:t>
      </w:r>
      <w:r w:rsidR="00CF25FD">
        <w:t>vulnerability is related to erosion</w:t>
      </w:r>
      <w:r w:rsidR="00F01BCC">
        <w:t>.</w:t>
      </w:r>
    </w:p>
    <w:p w14:paraId="1B7BCC11" w14:textId="77777777" w:rsidR="00CF25FD" w:rsidRDefault="009A653C" w:rsidP="004A034B">
      <w:pPr>
        <w:pStyle w:val="ListBullet0"/>
      </w:pPr>
      <w:r w:rsidRPr="0021783F">
        <w:t xml:space="preserve">The inundation vulnerability ratings </w:t>
      </w:r>
      <w:r w:rsidR="0021783F">
        <w:t>are generally</w:t>
      </w:r>
      <w:r w:rsidRPr="0021783F">
        <w:t xml:space="preserve"> low and medium ratings from present day. At the 100-year timeframe the </w:t>
      </w:r>
      <w:r w:rsidR="0021783F">
        <w:t>ratings are generally medium, with r</w:t>
      </w:r>
      <w:r w:rsidRPr="0021783F">
        <w:t xml:space="preserve">esidential, </w:t>
      </w:r>
      <w:r w:rsidR="0021783F">
        <w:t>p</w:t>
      </w:r>
      <w:r w:rsidRPr="0021783F">
        <w:t xml:space="preserve">ublic and </w:t>
      </w:r>
      <w:r w:rsidR="0021783F">
        <w:t>c</w:t>
      </w:r>
      <w:r w:rsidRPr="0021783F">
        <w:t xml:space="preserve">ommercial </w:t>
      </w:r>
      <w:r w:rsidR="0021783F" w:rsidRPr="0021783F">
        <w:t xml:space="preserve">categories </w:t>
      </w:r>
      <w:r w:rsidRPr="0021783F">
        <w:t>present</w:t>
      </w:r>
      <w:r w:rsidR="0021783F">
        <w:t>ing</w:t>
      </w:r>
      <w:r w:rsidRPr="0021783F">
        <w:t xml:space="preserve"> high</w:t>
      </w:r>
      <w:r w:rsidR="0021783F">
        <w:t xml:space="preserve"> levels of</w:t>
      </w:r>
      <w:r w:rsidRPr="0021783F">
        <w:t xml:space="preserve"> vulnerability</w:t>
      </w:r>
      <w:r w:rsidR="0021783F">
        <w:t>.</w:t>
      </w:r>
      <w:r w:rsidRPr="0021783F">
        <w:t xml:space="preserve"> </w:t>
      </w:r>
    </w:p>
    <w:p w14:paraId="35051B19" w14:textId="748E76B8" w:rsidR="00F05EE3" w:rsidRDefault="00F05EE3" w:rsidP="00995E68">
      <w:pPr>
        <w:pStyle w:val="TableCaption"/>
      </w:pPr>
      <w:bookmarkStart w:id="159" w:name="_Toc164411281"/>
      <w:r>
        <w:t xml:space="preserve">Table </w:t>
      </w:r>
      <w:r w:rsidR="008647EF">
        <w:fldChar w:fldCharType="begin"/>
      </w:r>
      <w:r w:rsidR="008647EF">
        <w:instrText xml:space="preserve"> STYLEREF 1 \s </w:instrText>
      </w:r>
      <w:r w:rsidR="008647EF">
        <w:fldChar w:fldCharType="separate"/>
      </w:r>
      <w:r w:rsidR="008647EF">
        <w:rPr>
          <w:noProof/>
        </w:rPr>
        <w:t>5</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7</w:t>
      </w:r>
      <w:r w:rsidR="008647EF">
        <w:fldChar w:fldCharType="end"/>
      </w:r>
      <w:r>
        <w:t xml:space="preserve"> Vulnerability results for Erosion. Asset categories not </w:t>
      </w:r>
      <w:r w:rsidR="001906FC">
        <w:t xml:space="preserve">at </w:t>
      </w:r>
      <w:r>
        <w:t>risk are not included.</w:t>
      </w:r>
      <w:bookmarkEnd w:id="1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134"/>
        <w:gridCol w:w="1134"/>
        <w:gridCol w:w="1134"/>
        <w:gridCol w:w="1432"/>
        <w:gridCol w:w="1397"/>
      </w:tblGrid>
      <w:tr w:rsidR="00F05EE3" w:rsidRPr="007800BC" w14:paraId="0ECE39F6" w14:textId="77777777" w:rsidTr="00FF52DF">
        <w:trPr>
          <w:trHeight w:val="584"/>
        </w:trPr>
        <w:tc>
          <w:tcPr>
            <w:tcW w:w="3397" w:type="dxa"/>
            <w:vMerge w:val="restart"/>
            <w:shd w:val="clear" w:color="000000" w:fill="0278AD"/>
            <w:noWrap/>
            <w:vAlign w:val="center"/>
            <w:hideMark/>
          </w:tcPr>
          <w:p w14:paraId="1FED647A" w14:textId="77777777" w:rsidR="00F05EE3" w:rsidRPr="007800BC" w:rsidRDefault="00F05EE3" w:rsidP="009831E3">
            <w:pPr>
              <w:jc w:val="center"/>
              <w:rPr>
                <w:rFonts w:ascii="Arial" w:eastAsia="Times New Roman" w:hAnsi="Arial" w:cs="Arial"/>
                <w:b/>
                <w:bCs/>
                <w:color w:val="FFFFFF"/>
                <w:szCs w:val="20"/>
                <w:lang w:val="en-US"/>
              </w:rPr>
            </w:pPr>
            <w:r w:rsidRPr="007800BC">
              <w:rPr>
                <w:rFonts w:ascii="Arial" w:eastAsia="Times New Roman" w:hAnsi="Arial" w:cs="Arial"/>
                <w:b/>
                <w:bCs/>
                <w:color w:val="FFFFFF"/>
                <w:szCs w:val="20"/>
                <w:lang w:val="en-US"/>
              </w:rPr>
              <w:t>Management Unit</w:t>
            </w:r>
          </w:p>
        </w:tc>
        <w:tc>
          <w:tcPr>
            <w:tcW w:w="4834" w:type="dxa"/>
            <w:gridSpan w:val="4"/>
            <w:shd w:val="clear" w:color="000000" w:fill="0278AD"/>
            <w:vAlign w:val="center"/>
            <w:hideMark/>
          </w:tcPr>
          <w:p w14:paraId="7134605A" w14:textId="77777777" w:rsidR="00F05EE3" w:rsidRPr="007800BC" w:rsidRDefault="00F05EE3" w:rsidP="009831E3">
            <w:pPr>
              <w:jc w:val="center"/>
              <w:rPr>
                <w:rFonts w:ascii="Arial" w:eastAsia="Times New Roman" w:hAnsi="Arial" w:cs="Arial"/>
                <w:b/>
                <w:bCs/>
                <w:color w:val="FFFFFF"/>
                <w:szCs w:val="20"/>
                <w:lang w:val="en-US"/>
              </w:rPr>
            </w:pPr>
            <w:r w:rsidRPr="007800BC">
              <w:rPr>
                <w:rFonts w:ascii="Arial" w:eastAsia="Times New Roman" w:hAnsi="Arial" w:cs="Arial"/>
                <w:b/>
                <w:bCs/>
                <w:color w:val="FFFFFF"/>
                <w:szCs w:val="20"/>
                <w:lang w:val="en-US"/>
              </w:rPr>
              <w:t>Vulnerability</w:t>
            </w:r>
          </w:p>
        </w:tc>
        <w:tc>
          <w:tcPr>
            <w:tcW w:w="1397" w:type="dxa"/>
            <w:vMerge w:val="restart"/>
            <w:shd w:val="clear" w:color="000000" w:fill="0278AD"/>
            <w:vAlign w:val="center"/>
            <w:hideMark/>
          </w:tcPr>
          <w:p w14:paraId="01615A34" w14:textId="77777777" w:rsidR="00F05EE3" w:rsidRPr="007800BC" w:rsidRDefault="00F05EE3" w:rsidP="009831E3">
            <w:pPr>
              <w:jc w:val="center"/>
              <w:rPr>
                <w:rFonts w:ascii="Arial" w:eastAsia="Times New Roman" w:hAnsi="Arial" w:cs="Arial"/>
                <w:b/>
                <w:bCs/>
                <w:color w:val="FFFFFF"/>
                <w:szCs w:val="20"/>
                <w:lang w:val="en-US"/>
              </w:rPr>
            </w:pPr>
            <w:r w:rsidRPr="007800BC">
              <w:rPr>
                <w:rFonts w:ascii="Arial" w:eastAsia="Times New Roman" w:hAnsi="Arial" w:cs="Arial"/>
                <w:b/>
                <w:bCs/>
                <w:color w:val="FFFFFF"/>
                <w:szCs w:val="20"/>
                <w:lang w:val="en-US"/>
              </w:rPr>
              <w:t>Summary</w:t>
            </w:r>
          </w:p>
        </w:tc>
      </w:tr>
      <w:tr w:rsidR="00F05EE3" w:rsidRPr="007800BC" w14:paraId="1E489350" w14:textId="77777777" w:rsidTr="00FF52DF">
        <w:trPr>
          <w:trHeight w:val="298"/>
        </w:trPr>
        <w:tc>
          <w:tcPr>
            <w:tcW w:w="3397" w:type="dxa"/>
            <w:vMerge/>
            <w:tcBorders>
              <w:bottom w:val="single" w:sz="4" w:space="0" w:color="auto"/>
            </w:tcBorders>
            <w:vAlign w:val="center"/>
            <w:hideMark/>
          </w:tcPr>
          <w:p w14:paraId="18924745" w14:textId="77777777" w:rsidR="00F05EE3" w:rsidRPr="007800BC" w:rsidRDefault="00F05EE3" w:rsidP="009831E3">
            <w:pPr>
              <w:rPr>
                <w:rFonts w:ascii="Arial" w:eastAsia="Times New Roman" w:hAnsi="Arial" w:cs="Arial"/>
                <w:b/>
                <w:bCs/>
                <w:color w:val="FFFFFF"/>
                <w:szCs w:val="20"/>
                <w:lang w:val="en-US"/>
              </w:rPr>
            </w:pPr>
          </w:p>
        </w:tc>
        <w:tc>
          <w:tcPr>
            <w:tcW w:w="1134" w:type="dxa"/>
            <w:tcBorders>
              <w:bottom w:val="single" w:sz="4" w:space="0" w:color="auto"/>
            </w:tcBorders>
            <w:shd w:val="clear" w:color="000000" w:fill="0278AD"/>
            <w:vAlign w:val="center"/>
            <w:hideMark/>
          </w:tcPr>
          <w:p w14:paraId="3EC4EA2F" w14:textId="77777777" w:rsidR="00F05EE3" w:rsidRPr="007800BC" w:rsidRDefault="00F05EE3" w:rsidP="009831E3">
            <w:pPr>
              <w:jc w:val="center"/>
              <w:rPr>
                <w:rFonts w:ascii="Arial" w:eastAsia="Times New Roman" w:hAnsi="Arial" w:cs="Arial"/>
                <w:b/>
                <w:bCs/>
                <w:color w:val="FFFFFF"/>
                <w:szCs w:val="20"/>
                <w:lang w:val="en-US"/>
              </w:rPr>
            </w:pPr>
            <w:r>
              <w:rPr>
                <w:rFonts w:ascii="Arial" w:eastAsia="Times New Roman" w:hAnsi="Arial" w:cs="Arial"/>
                <w:b/>
                <w:bCs/>
                <w:color w:val="FFFFFF"/>
                <w:szCs w:val="20"/>
                <w:lang w:val="en-US"/>
              </w:rPr>
              <w:t>P</w:t>
            </w:r>
            <w:r w:rsidRPr="007800BC">
              <w:rPr>
                <w:rFonts w:ascii="Arial" w:eastAsia="Times New Roman" w:hAnsi="Arial" w:cs="Arial"/>
                <w:b/>
                <w:bCs/>
                <w:color w:val="FFFFFF"/>
                <w:szCs w:val="20"/>
                <w:lang w:val="en-US"/>
              </w:rPr>
              <w:t>resent</w:t>
            </w:r>
          </w:p>
        </w:tc>
        <w:tc>
          <w:tcPr>
            <w:tcW w:w="1134" w:type="dxa"/>
            <w:tcBorders>
              <w:bottom w:val="single" w:sz="4" w:space="0" w:color="auto"/>
            </w:tcBorders>
            <w:shd w:val="clear" w:color="000000" w:fill="0278AD"/>
            <w:vAlign w:val="center"/>
            <w:hideMark/>
          </w:tcPr>
          <w:p w14:paraId="2358F38A" w14:textId="77777777" w:rsidR="00F05EE3" w:rsidRPr="007800BC" w:rsidRDefault="00F05EE3" w:rsidP="009831E3">
            <w:pPr>
              <w:jc w:val="center"/>
              <w:rPr>
                <w:rFonts w:ascii="Arial" w:eastAsia="Times New Roman" w:hAnsi="Arial" w:cs="Arial"/>
                <w:b/>
                <w:bCs/>
                <w:color w:val="FFFFFF"/>
                <w:szCs w:val="20"/>
                <w:lang w:val="en-US"/>
              </w:rPr>
            </w:pPr>
            <w:r>
              <w:rPr>
                <w:rFonts w:ascii="Arial" w:eastAsia="Times New Roman" w:hAnsi="Arial" w:cs="Arial"/>
                <w:b/>
                <w:bCs/>
                <w:color w:val="FFFFFF"/>
                <w:szCs w:val="20"/>
                <w:lang w:val="en-US"/>
              </w:rPr>
              <w:t>2047</w:t>
            </w:r>
          </w:p>
        </w:tc>
        <w:tc>
          <w:tcPr>
            <w:tcW w:w="1134" w:type="dxa"/>
            <w:tcBorders>
              <w:bottom w:val="single" w:sz="4" w:space="0" w:color="auto"/>
            </w:tcBorders>
            <w:shd w:val="clear" w:color="000000" w:fill="0278AD"/>
            <w:vAlign w:val="center"/>
            <w:hideMark/>
          </w:tcPr>
          <w:p w14:paraId="2683CADA" w14:textId="77777777" w:rsidR="00F05EE3" w:rsidRPr="007800BC" w:rsidRDefault="00F05EE3" w:rsidP="009831E3">
            <w:pPr>
              <w:jc w:val="center"/>
              <w:rPr>
                <w:rFonts w:ascii="Arial" w:eastAsia="Times New Roman" w:hAnsi="Arial" w:cs="Arial"/>
                <w:b/>
                <w:bCs/>
                <w:color w:val="FFFFFF"/>
                <w:szCs w:val="20"/>
                <w:lang w:val="en-US"/>
              </w:rPr>
            </w:pPr>
            <w:r>
              <w:rPr>
                <w:rFonts w:ascii="Arial" w:eastAsia="Times New Roman" w:hAnsi="Arial" w:cs="Arial"/>
                <w:b/>
                <w:bCs/>
                <w:color w:val="FFFFFF"/>
                <w:szCs w:val="20"/>
                <w:lang w:val="en-US"/>
              </w:rPr>
              <w:t>2072</w:t>
            </w:r>
          </w:p>
        </w:tc>
        <w:tc>
          <w:tcPr>
            <w:tcW w:w="1432" w:type="dxa"/>
            <w:tcBorders>
              <w:bottom w:val="single" w:sz="4" w:space="0" w:color="auto"/>
            </w:tcBorders>
            <w:shd w:val="clear" w:color="000000" w:fill="0278AD"/>
            <w:vAlign w:val="center"/>
            <w:hideMark/>
          </w:tcPr>
          <w:p w14:paraId="2909DF3E" w14:textId="77777777" w:rsidR="00F05EE3" w:rsidRPr="007800BC" w:rsidRDefault="00F05EE3" w:rsidP="009831E3">
            <w:pPr>
              <w:jc w:val="center"/>
              <w:rPr>
                <w:rFonts w:ascii="Arial" w:eastAsia="Times New Roman" w:hAnsi="Arial" w:cs="Arial"/>
                <w:b/>
                <w:bCs/>
                <w:color w:val="FFFFFF"/>
                <w:szCs w:val="20"/>
                <w:lang w:val="en-US"/>
              </w:rPr>
            </w:pPr>
            <w:r w:rsidRPr="007800BC">
              <w:rPr>
                <w:rFonts w:ascii="Arial" w:eastAsia="Times New Roman" w:hAnsi="Arial" w:cs="Arial"/>
                <w:b/>
                <w:bCs/>
                <w:color w:val="FFFFFF"/>
                <w:szCs w:val="20"/>
                <w:lang w:val="en-US"/>
              </w:rPr>
              <w:t>2122</w:t>
            </w:r>
          </w:p>
        </w:tc>
        <w:tc>
          <w:tcPr>
            <w:tcW w:w="1397" w:type="dxa"/>
            <w:vMerge/>
            <w:tcBorders>
              <w:bottom w:val="single" w:sz="4" w:space="0" w:color="auto"/>
            </w:tcBorders>
            <w:vAlign w:val="center"/>
            <w:hideMark/>
          </w:tcPr>
          <w:p w14:paraId="7AC62363" w14:textId="77777777" w:rsidR="00F05EE3" w:rsidRPr="007800BC" w:rsidRDefault="00F05EE3" w:rsidP="009831E3">
            <w:pPr>
              <w:rPr>
                <w:rFonts w:ascii="Arial" w:eastAsia="Times New Roman" w:hAnsi="Arial" w:cs="Arial"/>
                <w:b/>
                <w:bCs/>
                <w:color w:val="FFFFFF"/>
                <w:szCs w:val="20"/>
                <w:lang w:val="en-US"/>
              </w:rPr>
            </w:pPr>
          </w:p>
        </w:tc>
      </w:tr>
      <w:tr w:rsidR="00F05EE3" w:rsidRPr="007800BC" w14:paraId="149DDE70" w14:textId="77777777" w:rsidTr="00FF52DF">
        <w:trPr>
          <w:trHeight w:val="331"/>
        </w:trPr>
        <w:tc>
          <w:tcPr>
            <w:tcW w:w="3397" w:type="dxa"/>
            <w:tcBorders>
              <w:top w:val="single" w:sz="4" w:space="0" w:color="auto"/>
              <w:left w:val="single" w:sz="4" w:space="0" w:color="auto"/>
              <w:bottom w:val="single" w:sz="4" w:space="0" w:color="auto"/>
            </w:tcBorders>
            <w:shd w:val="clear" w:color="000000" w:fill="BCE9FE"/>
            <w:noWrap/>
            <w:vAlign w:val="center"/>
            <w:hideMark/>
          </w:tcPr>
          <w:p w14:paraId="614831C3" w14:textId="77777777" w:rsidR="00F05EE3" w:rsidRPr="007800BC" w:rsidRDefault="00F05EE3" w:rsidP="009831E3">
            <w:pP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MU1-Point King to Melville point</w:t>
            </w:r>
          </w:p>
        </w:tc>
        <w:tc>
          <w:tcPr>
            <w:tcW w:w="1134" w:type="dxa"/>
            <w:tcBorders>
              <w:top w:val="single" w:sz="4" w:space="0" w:color="auto"/>
              <w:bottom w:val="single" w:sz="4" w:space="0" w:color="auto"/>
            </w:tcBorders>
            <w:shd w:val="clear" w:color="000000" w:fill="BCE9FE"/>
            <w:noWrap/>
            <w:vAlign w:val="center"/>
            <w:hideMark/>
          </w:tcPr>
          <w:p w14:paraId="29A9ED8B"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134" w:type="dxa"/>
            <w:tcBorders>
              <w:top w:val="single" w:sz="4" w:space="0" w:color="auto"/>
              <w:bottom w:val="single" w:sz="4" w:space="0" w:color="auto"/>
            </w:tcBorders>
            <w:shd w:val="clear" w:color="000000" w:fill="BCE9FE"/>
            <w:noWrap/>
            <w:vAlign w:val="center"/>
            <w:hideMark/>
          </w:tcPr>
          <w:p w14:paraId="770AAFF4"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134" w:type="dxa"/>
            <w:tcBorders>
              <w:top w:val="single" w:sz="4" w:space="0" w:color="auto"/>
              <w:bottom w:val="single" w:sz="4" w:space="0" w:color="auto"/>
            </w:tcBorders>
            <w:shd w:val="clear" w:color="000000" w:fill="BCE9FE"/>
            <w:noWrap/>
            <w:vAlign w:val="center"/>
            <w:hideMark/>
          </w:tcPr>
          <w:p w14:paraId="700D2843"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432" w:type="dxa"/>
            <w:tcBorders>
              <w:top w:val="single" w:sz="4" w:space="0" w:color="auto"/>
              <w:bottom w:val="single" w:sz="4" w:space="0" w:color="auto"/>
            </w:tcBorders>
            <w:shd w:val="clear" w:color="000000" w:fill="BCE9FE"/>
            <w:noWrap/>
            <w:vAlign w:val="center"/>
            <w:hideMark/>
          </w:tcPr>
          <w:p w14:paraId="43CE7FA9"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397" w:type="dxa"/>
            <w:tcBorders>
              <w:top w:val="single" w:sz="4" w:space="0" w:color="auto"/>
              <w:bottom w:val="single" w:sz="4" w:space="0" w:color="auto"/>
              <w:right w:val="single" w:sz="4" w:space="0" w:color="auto"/>
            </w:tcBorders>
            <w:shd w:val="clear" w:color="000000" w:fill="BCE9FE"/>
            <w:vAlign w:val="center"/>
            <w:hideMark/>
          </w:tcPr>
          <w:p w14:paraId="640450D5" w14:textId="77777777" w:rsidR="00F05EE3" w:rsidRPr="007800BC" w:rsidRDefault="00F05EE3" w:rsidP="009831E3">
            <w:pP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r>
      <w:tr w:rsidR="00F05EE3" w:rsidRPr="007800BC" w14:paraId="40C3DC53" w14:textId="77777777" w:rsidTr="00FF52DF">
        <w:trPr>
          <w:trHeight w:val="331"/>
        </w:trPr>
        <w:tc>
          <w:tcPr>
            <w:tcW w:w="3397" w:type="dxa"/>
            <w:tcBorders>
              <w:top w:val="single" w:sz="4" w:space="0" w:color="auto"/>
            </w:tcBorders>
            <w:shd w:val="clear" w:color="auto" w:fill="auto"/>
            <w:vAlign w:val="center"/>
            <w:hideMark/>
          </w:tcPr>
          <w:p w14:paraId="076B271D"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Residential</w:t>
            </w:r>
          </w:p>
        </w:tc>
        <w:tc>
          <w:tcPr>
            <w:tcW w:w="1134" w:type="dxa"/>
            <w:tcBorders>
              <w:top w:val="single" w:sz="4" w:space="0" w:color="auto"/>
            </w:tcBorders>
            <w:shd w:val="clear" w:color="000000" w:fill="D9D9D9"/>
            <w:noWrap/>
            <w:vAlign w:val="center"/>
            <w:hideMark/>
          </w:tcPr>
          <w:p w14:paraId="34C82E65"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tcBorders>
              <w:top w:val="single" w:sz="4" w:space="0" w:color="auto"/>
            </w:tcBorders>
            <w:shd w:val="clear" w:color="000000" w:fill="D9D9D9"/>
            <w:noWrap/>
            <w:vAlign w:val="center"/>
            <w:hideMark/>
          </w:tcPr>
          <w:p w14:paraId="7EA8AEA1"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tcBorders>
              <w:top w:val="single" w:sz="4" w:space="0" w:color="auto"/>
            </w:tcBorders>
            <w:shd w:val="clear" w:color="000000" w:fill="D9D9D9"/>
            <w:noWrap/>
            <w:vAlign w:val="center"/>
            <w:hideMark/>
          </w:tcPr>
          <w:p w14:paraId="284063CE"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tcBorders>
              <w:top w:val="single" w:sz="4" w:space="0" w:color="auto"/>
            </w:tcBorders>
            <w:shd w:val="clear" w:color="000000" w:fill="D9D9D9"/>
            <w:noWrap/>
            <w:vAlign w:val="center"/>
            <w:hideMark/>
          </w:tcPr>
          <w:p w14:paraId="49419F7D"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restart"/>
            <w:tcBorders>
              <w:top w:val="single" w:sz="4" w:space="0" w:color="auto"/>
            </w:tcBorders>
            <w:shd w:val="clear" w:color="auto" w:fill="auto"/>
            <w:vAlign w:val="center"/>
            <w:hideMark/>
          </w:tcPr>
          <w:p w14:paraId="75906D73"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This is a hardened coast; erosion is a key risk for the 2122 timeframe when the design life of the structures is past due.</w:t>
            </w:r>
          </w:p>
        </w:tc>
      </w:tr>
      <w:tr w:rsidR="00F05EE3" w:rsidRPr="007800BC" w14:paraId="0051ED7D" w14:textId="77777777" w:rsidTr="00FF52DF">
        <w:trPr>
          <w:trHeight w:val="331"/>
        </w:trPr>
        <w:tc>
          <w:tcPr>
            <w:tcW w:w="3397" w:type="dxa"/>
            <w:shd w:val="clear" w:color="auto" w:fill="auto"/>
            <w:vAlign w:val="center"/>
            <w:hideMark/>
          </w:tcPr>
          <w:p w14:paraId="34E82642"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Commercial</w:t>
            </w:r>
          </w:p>
        </w:tc>
        <w:tc>
          <w:tcPr>
            <w:tcW w:w="1134" w:type="dxa"/>
            <w:shd w:val="clear" w:color="000000" w:fill="D9D9D9"/>
            <w:noWrap/>
            <w:vAlign w:val="center"/>
            <w:hideMark/>
          </w:tcPr>
          <w:p w14:paraId="49107E1A"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18C29A44"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7CA4EEFA"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5E70E993"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2CBD96E0" w14:textId="77777777" w:rsidR="00F05EE3" w:rsidRPr="007800BC" w:rsidRDefault="00F05EE3" w:rsidP="009831E3">
            <w:pPr>
              <w:rPr>
                <w:rFonts w:ascii="Arial" w:eastAsia="Times New Roman" w:hAnsi="Arial" w:cs="Arial"/>
                <w:color w:val="000000"/>
                <w:szCs w:val="20"/>
                <w:lang w:val="en-US"/>
              </w:rPr>
            </w:pPr>
          </w:p>
        </w:tc>
      </w:tr>
      <w:tr w:rsidR="00F05EE3" w:rsidRPr="007800BC" w14:paraId="413F4F62" w14:textId="77777777" w:rsidTr="00FF52DF">
        <w:trPr>
          <w:trHeight w:val="331"/>
        </w:trPr>
        <w:tc>
          <w:tcPr>
            <w:tcW w:w="3397" w:type="dxa"/>
            <w:shd w:val="clear" w:color="auto" w:fill="auto"/>
            <w:vAlign w:val="center"/>
            <w:hideMark/>
          </w:tcPr>
          <w:p w14:paraId="62108D47"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Developed Foreshore Reserve</w:t>
            </w:r>
          </w:p>
        </w:tc>
        <w:tc>
          <w:tcPr>
            <w:tcW w:w="1134" w:type="dxa"/>
            <w:shd w:val="clear" w:color="000000" w:fill="D9D9D9"/>
            <w:noWrap/>
            <w:vAlign w:val="center"/>
            <w:hideMark/>
          </w:tcPr>
          <w:p w14:paraId="3008D7D4" w14:textId="77777777" w:rsidR="00F05EE3" w:rsidRPr="007800BC" w:rsidRDefault="00F05EE3" w:rsidP="009831E3">
            <w:pPr>
              <w:jc w:val="center"/>
              <w:rPr>
                <w:rFonts w:ascii="Arial" w:eastAsia="Times New Roman" w:hAnsi="Arial" w:cs="Arial"/>
                <w:b/>
                <w:bCs/>
                <w:color w:val="00B050"/>
                <w:szCs w:val="20"/>
                <w:lang w:val="en-US"/>
              </w:rPr>
            </w:pPr>
            <w:r w:rsidRPr="007800BC">
              <w:rPr>
                <w:rFonts w:ascii="Arial" w:eastAsia="Times New Roman" w:hAnsi="Arial" w:cs="Arial"/>
                <w:b/>
                <w:bCs/>
                <w:color w:val="00B050"/>
                <w:szCs w:val="20"/>
                <w:lang w:val="en-US"/>
              </w:rPr>
              <w:t>Low</w:t>
            </w:r>
          </w:p>
        </w:tc>
        <w:tc>
          <w:tcPr>
            <w:tcW w:w="1134" w:type="dxa"/>
            <w:shd w:val="clear" w:color="000000" w:fill="D9D9D9"/>
            <w:noWrap/>
            <w:vAlign w:val="center"/>
            <w:hideMark/>
          </w:tcPr>
          <w:p w14:paraId="5E4CAB9E" w14:textId="77777777" w:rsidR="00F05EE3" w:rsidRPr="007800BC" w:rsidRDefault="00F05EE3" w:rsidP="009831E3">
            <w:pPr>
              <w:jc w:val="center"/>
              <w:rPr>
                <w:rFonts w:ascii="Arial" w:eastAsia="Times New Roman" w:hAnsi="Arial" w:cs="Arial"/>
                <w:b/>
                <w:bCs/>
                <w:color w:val="00B050"/>
                <w:szCs w:val="20"/>
                <w:lang w:val="en-US"/>
              </w:rPr>
            </w:pPr>
            <w:r w:rsidRPr="007800BC">
              <w:rPr>
                <w:rFonts w:ascii="Arial" w:eastAsia="Times New Roman" w:hAnsi="Arial" w:cs="Arial"/>
                <w:b/>
                <w:bCs/>
                <w:color w:val="00B050"/>
                <w:szCs w:val="20"/>
                <w:lang w:val="en-US"/>
              </w:rPr>
              <w:t>Low</w:t>
            </w:r>
          </w:p>
        </w:tc>
        <w:tc>
          <w:tcPr>
            <w:tcW w:w="1134" w:type="dxa"/>
            <w:shd w:val="clear" w:color="000000" w:fill="D9D9D9"/>
            <w:noWrap/>
            <w:vAlign w:val="center"/>
            <w:hideMark/>
          </w:tcPr>
          <w:p w14:paraId="3E60B0CE"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432" w:type="dxa"/>
            <w:shd w:val="clear" w:color="000000" w:fill="D9D9D9"/>
            <w:noWrap/>
            <w:vAlign w:val="center"/>
            <w:hideMark/>
          </w:tcPr>
          <w:p w14:paraId="1E6B9199"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397" w:type="dxa"/>
            <w:vMerge/>
            <w:vAlign w:val="center"/>
            <w:hideMark/>
          </w:tcPr>
          <w:p w14:paraId="1FBD6E5B" w14:textId="77777777" w:rsidR="00F05EE3" w:rsidRPr="007800BC" w:rsidRDefault="00F05EE3" w:rsidP="009831E3">
            <w:pPr>
              <w:rPr>
                <w:rFonts w:ascii="Arial" w:eastAsia="Times New Roman" w:hAnsi="Arial" w:cs="Arial"/>
                <w:color w:val="000000"/>
                <w:szCs w:val="20"/>
                <w:lang w:val="en-US"/>
              </w:rPr>
            </w:pPr>
          </w:p>
        </w:tc>
      </w:tr>
      <w:tr w:rsidR="00F05EE3" w:rsidRPr="007800BC" w14:paraId="1D2C0721" w14:textId="77777777" w:rsidTr="00FF52DF">
        <w:trPr>
          <w:trHeight w:val="331"/>
        </w:trPr>
        <w:tc>
          <w:tcPr>
            <w:tcW w:w="3397" w:type="dxa"/>
            <w:shd w:val="clear" w:color="auto" w:fill="auto"/>
            <w:vAlign w:val="center"/>
            <w:hideMark/>
          </w:tcPr>
          <w:p w14:paraId="34D53087"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Public &amp; Community</w:t>
            </w:r>
          </w:p>
        </w:tc>
        <w:tc>
          <w:tcPr>
            <w:tcW w:w="1134" w:type="dxa"/>
            <w:shd w:val="clear" w:color="000000" w:fill="D9D9D9"/>
            <w:noWrap/>
            <w:vAlign w:val="center"/>
            <w:hideMark/>
          </w:tcPr>
          <w:p w14:paraId="71B38148"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0E73A9FC"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064CE1B9"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432" w:type="dxa"/>
            <w:shd w:val="clear" w:color="000000" w:fill="D9D9D9"/>
            <w:noWrap/>
            <w:vAlign w:val="center"/>
            <w:hideMark/>
          </w:tcPr>
          <w:p w14:paraId="4E7C1A06"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09FF2B47" w14:textId="77777777" w:rsidR="00F05EE3" w:rsidRPr="007800BC" w:rsidRDefault="00F05EE3" w:rsidP="009831E3">
            <w:pPr>
              <w:rPr>
                <w:rFonts w:ascii="Arial" w:eastAsia="Times New Roman" w:hAnsi="Arial" w:cs="Arial"/>
                <w:color w:val="000000"/>
                <w:szCs w:val="20"/>
                <w:lang w:val="en-US"/>
              </w:rPr>
            </w:pPr>
          </w:p>
        </w:tc>
      </w:tr>
      <w:tr w:rsidR="00F05EE3" w:rsidRPr="007800BC" w14:paraId="77D1A7C3" w14:textId="77777777" w:rsidTr="00FF52DF">
        <w:trPr>
          <w:trHeight w:val="331"/>
        </w:trPr>
        <w:tc>
          <w:tcPr>
            <w:tcW w:w="3397" w:type="dxa"/>
            <w:shd w:val="clear" w:color="auto" w:fill="auto"/>
            <w:vAlign w:val="center"/>
            <w:hideMark/>
          </w:tcPr>
          <w:p w14:paraId="3D1A49A4"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Roads</w:t>
            </w:r>
          </w:p>
        </w:tc>
        <w:tc>
          <w:tcPr>
            <w:tcW w:w="1134" w:type="dxa"/>
            <w:shd w:val="clear" w:color="000000" w:fill="D9D9D9"/>
            <w:noWrap/>
            <w:vAlign w:val="center"/>
            <w:hideMark/>
          </w:tcPr>
          <w:p w14:paraId="3487EB73"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5D607092"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57CB6A0E"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31B06CD5"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584C07BC" w14:textId="77777777" w:rsidR="00F05EE3" w:rsidRPr="007800BC" w:rsidRDefault="00F05EE3" w:rsidP="009831E3">
            <w:pPr>
              <w:rPr>
                <w:rFonts w:ascii="Arial" w:eastAsia="Times New Roman" w:hAnsi="Arial" w:cs="Arial"/>
                <w:color w:val="000000"/>
                <w:szCs w:val="20"/>
                <w:lang w:val="en-US"/>
              </w:rPr>
            </w:pPr>
          </w:p>
        </w:tc>
      </w:tr>
      <w:tr w:rsidR="00F05EE3" w:rsidRPr="007800BC" w14:paraId="12E8E10F" w14:textId="77777777" w:rsidTr="00FF52DF">
        <w:trPr>
          <w:trHeight w:val="331"/>
        </w:trPr>
        <w:tc>
          <w:tcPr>
            <w:tcW w:w="3397" w:type="dxa"/>
            <w:shd w:val="clear" w:color="auto" w:fill="auto"/>
            <w:vAlign w:val="center"/>
            <w:hideMark/>
          </w:tcPr>
          <w:p w14:paraId="411DD655"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Environmental</w:t>
            </w:r>
          </w:p>
        </w:tc>
        <w:tc>
          <w:tcPr>
            <w:tcW w:w="1134" w:type="dxa"/>
            <w:shd w:val="clear" w:color="000000" w:fill="D9D9D9"/>
            <w:noWrap/>
            <w:vAlign w:val="center"/>
            <w:hideMark/>
          </w:tcPr>
          <w:p w14:paraId="30B44356"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0E880686"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136EF2B6"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432" w:type="dxa"/>
            <w:shd w:val="clear" w:color="000000" w:fill="D9D9D9"/>
            <w:noWrap/>
            <w:vAlign w:val="center"/>
            <w:hideMark/>
          </w:tcPr>
          <w:p w14:paraId="2261F427"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22E05350" w14:textId="77777777" w:rsidR="00F05EE3" w:rsidRPr="007800BC" w:rsidRDefault="00F05EE3" w:rsidP="009831E3">
            <w:pPr>
              <w:rPr>
                <w:rFonts w:ascii="Arial" w:eastAsia="Times New Roman" w:hAnsi="Arial" w:cs="Arial"/>
                <w:color w:val="000000"/>
                <w:szCs w:val="20"/>
                <w:lang w:val="en-US"/>
              </w:rPr>
            </w:pPr>
          </w:p>
        </w:tc>
      </w:tr>
      <w:tr w:rsidR="00F05EE3" w:rsidRPr="007800BC" w14:paraId="5D543AF5" w14:textId="77777777" w:rsidTr="00FF52DF">
        <w:trPr>
          <w:trHeight w:val="331"/>
        </w:trPr>
        <w:tc>
          <w:tcPr>
            <w:tcW w:w="3397" w:type="dxa"/>
            <w:tcBorders>
              <w:bottom w:val="single" w:sz="4" w:space="0" w:color="auto"/>
            </w:tcBorders>
            <w:shd w:val="clear" w:color="auto" w:fill="auto"/>
            <w:vAlign w:val="center"/>
            <w:hideMark/>
          </w:tcPr>
          <w:p w14:paraId="0B0EAA62"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Heritage</w:t>
            </w:r>
          </w:p>
        </w:tc>
        <w:tc>
          <w:tcPr>
            <w:tcW w:w="1134" w:type="dxa"/>
            <w:tcBorders>
              <w:bottom w:val="single" w:sz="4" w:space="0" w:color="auto"/>
            </w:tcBorders>
            <w:shd w:val="clear" w:color="000000" w:fill="D9D9D9"/>
            <w:noWrap/>
            <w:vAlign w:val="center"/>
            <w:hideMark/>
          </w:tcPr>
          <w:p w14:paraId="4CAB3257"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tcBorders>
              <w:bottom w:val="single" w:sz="4" w:space="0" w:color="auto"/>
            </w:tcBorders>
            <w:shd w:val="clear" w:color="000000" w:fill="D9D9D9"/>
            <w:noWrap/>
            <w:vAlign w:val="center"/>
            <w:hideMark/>
          </w:tcPr>
          <w:p w14:paraId="5EB70B0C"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tcBorders>
              <w:bottom w:val="single" w:sz="4" w:space="0" w:color="auto"/>
            </w:tcBorders>
            <w:shd w:val="clear" w:color="000000" w:fill="D9D9D9"/>
            <w:noWrap/>
            <w:vAlign w:val="center"/>
            <w:hideMark/>
          </w:tcPr>
          <w:p w14:paraId="2F2FA43A"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432" w:type="dxa"/>
            <w:tcBorders>
              <w:bottom w:val="single" w:sz="4" w:space="0" w:color="auto"/>
            </w:tcBorders>
            <w:shd w:val="clear" w:color="000000" w:fill="D9D9D9"/>
            <w:noWrap/>
            <w:vAlign w:val="center"/>
            <w:hideMark/>
          </w:tcPr>
          <w:p w14:paraId="51BC08E1"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tcBorders>
              <w:bottom w:val="single" w:sz="4" w:space="0" w:color="auto"/>
            </w:tcBorders>
            <w:vAlign w:val="center"/>
            <w:hideMark/>
          </w:tcPr>
          <w:p w14:paraId="35AD8857" w14:textId="77777777" w:rsidR="00F05EE3" w:rsidRPr="007800BC" w:rsidRDefault="00F05EE3" w:rsidP="009831E3">
            <w:pPr>
              <w:rPr>
                <w:rFonts w:ascii="Arial" w:eastAsia="Times New Roman" w:hAnsi="Arial" w:cs="Arial"/>
                <w:color w:val="000000"/>
                <w:szCs w:val="20"/>
                <w:lang w:val="en-US"/>
              </w:rPr>
            </w:pPr>
          </w:p>
        </w:tc>
      </w:tr>
      <w:tr w:rsidR="00F05EE3" w:rsidRPr="007800BC" w14:paraId="7EA9F0AC" w14:textId="77777777" w:rsidTr="00FF52DF">
        <w:trPr>
          <w:trHeight w:val="331"/>
        </w:trPr>
        <w:tc>
          <w:tcPr>
            <w:tcW w:w="3397" w:type="dxa"/>
            <w:tcBorders>
              <w:top w:val="single" w:sz="4" w:space="0" w:color="auto"/>
              <w:left w:val="single" w:sz="4" w:space="0" w:color="auto"/>
              <w:bottom w:val="single" w:sz="4" w:space="0" w:color="auto"/>
            </w:tcBorders>
            <w:shd w:val="clear" w:color="000000" w:fill="BCE9FE"/>
            <w:noWrap/>
            <w:vAlign w:val="center"/>
            <w:hideMark/>
          </w:tcPr>
          <w:p w14:paraId="0366C28B" w14:textId="77777777" w:rsidR="00F05EE3" w:rsidRPr="007800BC" w:rsidRDefault="00F05EE3" w:rsidP="009831E3">
            <w:pP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MU2 - Melville Point to Rushy Point</w:t>
            </w:r>
          </w:p>
        </w:tc>
        <w:tc>
          <w:tcPr>
            <w:tcW w:w="1134" w:type="dxa"/>
            <w:tcBorders>
              <w:top w:val="single" w:sz="4" w:space="0" w:color="auto"/>
              <w:bottom w:val="single" w:sz="4" w:space="0" w:color="auto"/>
            </w:tcBorders>
            <w:shd w:val="clear" w:color="000000" w:fill="BCE9FE"/>
            <w:noWrap/>
            <w:vAlign w:val="center"/>
            <w:hideMark/>
          </w:tcPr>
          <w:p w14:paraId="1841F370"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134" w:type="dxa"/>
            <w:tcBorders>
              <w:top w:val="single" w:sz="4" w:space="0" w:color="auto"/>
              <w:bottom w:val="single" w:sz="4" w:space="0" w:color="auto"/>
            </w:tcBorders>
            <w:shd w:val="clear" w:color="000000" w:fill="BCE9FE"/>
            <w:noWrap/>
            <w:vAlign w:val="center"/>
            <w:hideMark/>
          </w:tcPr>
          <w:p w14:paraId="3524D838"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134" w:type="dxa"/>
            <w:tcBorders>
              <w:top w:val="single" w:sz="4" w:space="0" w:color="auto"/>
              <w:bottom w:val="single" w:sz="4" w:space="0" w:color="auto"/>
            </w:tcBorders>
            <w:shd w:val="clear" w:color="000000" w:fill="BCE9FE"/>
            <w:noWrap/>
            <w:vAlign w:val="center"/>
            <w:hideMark/>
          </w:tcPr>
          <w:p w14:paraId="6187AF96"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432" w:type="dxa"/>
            <w:tcBorders>
              <w:top w:val="single" w:sz="4" w:space="0" w:color="auto"/>
              <w:bottom w:val="single" w:sz="4" w:space="0" w:color="auto"/>
            </w:tcBorders>
            <w:shd w:val="clear" w:color="000000" w:fill="BCE9FE"/>
            <w:noWrap/>
            <w:vAlign w:val="center"/>
            <w:hideMark/>
          </w:tcPr>
          <w:p w14:paraId="2D680621"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397" w:type="dxa"/>
            <w:tcBorders>
              <w:top w:val="single" w:sz="4" w:space="0" w:color="auto"/>
              <w:bottom w:val="single" w:sz="4" w:space="0" w:color="auto"/>
              <w:right w:val="single" w:sz="4" w:space="0" w:color="auto"/>
            </w:tcBorders>
            <w:shd w:val="clear" w:color="000000" w:fill="BCE9FE"/>
            <w:vAlign w:val="center"/>
            <w:hideMark/>
          </w:tcPr>
          <w:p w14:paraId="0ABFE467" w14:textId="77777777" w:rsidR="00F05EE3" w:rsidRPr="007800BC" w:rsidRDefault="00F05EE3" w:rsidP="009831E3">
            <w:pP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r>
      <w:tr w:rsidR="00F05EE3" w:rsidRPr="007800BC" w14:paraId="42E34B8E" w14:textId="77777777" w:rsidTr="00FF52DF">
        <w:trPr>
          <w:trHeight w:val="331"/>
        </w:trPr>
        <w:tc>
          <w:tcPr>
            <w:tcW w:w="3397" w:type="dxa"/>
            <w:tcBorders>
              <w:top w:val="single" w:sz="4" w:space="0" w:color="auto"/>
            </w:tcBorders>
            <w:shd w:val="clear" w:color="auto" w:fill="auto"/>
            <w:vAlign w:val="center"/>
            <w:hideMark/>
          </w:tcPr>
          <w:p w14:paraId="5882EB99"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Residential</w:t>
            </w:r>
          </w:p>
        </w:tc>
        <w:tc>
          <w:tcPr>
            <w:tcW w:w="1134" w:type="dxa"/>
            <w:tcBorders>
              <w:top w:val="single" w:sz="4" w:space="0" w:color="auto"/>
            </w:tcBorders>
            <w:shd w:val="clear" w:color="000000" w:fill="D9D9D9"/>
            <w:noWrap/>
            <w:vAlign w:val="center"/>
            <w:hideMark/>
          </w:tcPr>
          <w:p w14:paraId="319522D3"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tcBorders>
              <w:top w:val="single" w:sz="4" w:space="0" w:color="auto"/>
            </w:tcBorders>
            <w:shd w:val="clear" w:color="000000" w:fill="D9D9D9"/>
            <w:noWrap/>
            <w:vAlign w:val="center"/>
            <w:hideMark/>
          </w:tcPr>
          <w:p w14:paraId="4165D51D"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tcBorders>
              <w:top w:val="single" w:sz="4" w:space="0" w:color="auto"/>
            </w:tcBorders>
            <w:shd w:val="clear" w:color="000000" w:fill="D9D9D9"/>
            <w:noWrap/>
            <w:vAlign w:val="center"/>
            <w:hideMark/>
          </w:tcPr>
          <w:p w14:paraId="7AAD98EA"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tcBorders>
              <w:top w:val="single" w:sz="4" w:space="0" w:color="auto"/>
            </w:tcBorders>
            <w:shd w:val="clear" w:color="000000" w:fill="D9D9D9"/>
            <w:noWrap/>
            <w:vAlign w:val="center"/>
            <w:hideMark/>
          </w:tcPr>
          <w:p w14:paraId="70D051F9"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restart"/>
            <w:tcBorders>
              <w:top w:val="single" w:sz="4" w:space="0" w:color="auto"/>
            </w:tcBorders>
            <w:shd w:val="clear" w:color="auto" w:fill="auto"/>
            <w:vAlign w:val="center"/>
            <w:hideMark/>
          </w:tcPr>
          <w:p w14:paraId="02E5BF29"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 xml:space="preserve">This MU </w:t>
            </w:r>
            <w:r>
              <w:rPr>
                <w:rFonts w:ascii="Arial" w:eastAsia="Times New Roman" w:hAnsi="Arial" w:cs="Arial"/>
                <w:color w:val="000000"/>
                <w:szCs w:val="20"/>
                <w:lang w:val="en-US"/>
              </w:rPr>
              <w:t xml:space="preserve">has the </w:t>
            </w:r>
            <w:r w:rsidRPr="007800BC">
              <w:rPr>
                <w:rFonts w:ascii="Arial" w:eastAsia="Times New Roman" w:hAnsi="Arial" w:cs="Arial"/>
                <w:color w:val="000000"/>
                <w:szCs w:val="20"/>
                <w:lang w:val="en-US"/>
              </w:rPr>
              <w:t>most categories affected from the present day.</w:t>
            </w:r>
          </w:p>
        </w:tc>
      </w:tr>
      <w:tr w:rsidR="00F05EE3" w:rsidRPr="007800BC" w14:paraId="044297E0" w14:textId="77777777" w:rsidTr="00FF52DF">
        <w:trPr>
          <w:trHeight w:val="331"/>
        </w:trPr>
        <w:tc>
          <w:tcPr>
            <w:tcW w:w="3397" w:type="dxa"/>
            <w:shd w:val="clear" w:color="auto" w:fill="auto"/>
            <w:vAlign w:val="center"/>
            <w:hideMark/>
          </w:tcPr>
          <w:p w14:paraId="24D66141"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Commercial</w:t>
            </w:r>
          </w:p>
        </w:tc>
        <w:tc>
          <w:tcPr>
            <w:tcW w:w="1134" w:type="dxa"/>
            <w:shd w:val="clear" w:color="000000" w:fill="D9D9D9"/>
            <w:noWrap/>
            <w:vAlign w:val="center"/>
            <w:hideMark/>
          </w:tcPr>
          <w:p w14:paraId="4F5DBCD9"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5A22C08D"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0241B466"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2DB251FF"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2D006C2C" w14:textId="77777777" w:rsidR="00F05EE3" w:rsidRPr="007800BC" w:rsidRDefault="00F05EE3" w:rsidP="009831E3">
            <w:pPr>
              <w:rPr>
                <w:rFonts w:ascii="Arial" w:eastAsia="Times New Roman" w:hAnsi="Arial" w:cs="Arial"/>
                <w:color w:val="000000"/>
                <w:szCs w:val="20"/>
                <w:lang w:val="en-US"/>
              </w:rPr>
            </w:pPr>
          </w:p>
        </w:tc>
      </w:tr>
      <w:tr w:rsidR="00F05EE3" w:rsidRPr="007800BC" w14:paraId="7AB0EB83" w14:textId="77777777" w:rsidTr="00FF52DF">
        <w:trPr>
          <w:trHeight w:val="331"/>
        </w:trPr>
        <w:tc>
          <w:tcPr>
            <w:tcW w:w="3397" w:type="dxa"/>
            <w:shd w:val="clear" w:color="auto" w:fill="auto"/>
            <w:vAlign w:val="center"/>
            <w:hideMark/>
          </w:tcPr>
          <w:p w14:paraId="09C90F38"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Developed Foreshore Reserve</w:t>
            </w:r>
          </w:p>
        </w:tc>
        <w:tc>
          <w:tcPr>
            <w:tcW w:w="1134" w:type="dxa"/>
            <w:shd w:val="clear" w:color="000000" w:fill="D9D9D9"/>
            <w:noWrap/>
            <w:vAlign w:val="center"/>
            <w:hideMark/>
          </w:tcPr>
          <w:p w14:paraId="01599C95"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65D8AD4F"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447D9DD8"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432" w:type="dxa"/>
            <w:shd w:val="clear" w:color="000000" w:fill="D9D9D9"/>
            <w:noWrap/>
            <w:vAlign w:val="center"/>
            <w:hideMark/>
          </w:tcPr>
          <w:p w14:paraId="221D4D39"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397" w:type="dxa"/>
            <w:vMerge/>
            <w:vAlign w:val="center"/>
            <w:hideMark/>
          </w:tcPr>
          <w:p w14:paraId="592850CF" w14:textId="77777777" w:rsidR="00F05EE3" w:rsidRPr="007800BC" w:rsidRDefault="00F05EE3" w:rsidP="009831E3">
            <w:pPr>
              <w:rPr>
                <w:rFonts w:ascii="Arial" w:eastAsia="Times New Roman" w:hAnsi="Arial" w:cs="Arial"/>
                <w:color w:val="000000"/>
                <w:szCs w:val="20"/>
                <w:lang w:val="en-US"/>
              </w:rPr>
            </w:pPr>
          </w:p>
        </w:tc>
      </w:tr>
      <w:tr w:rsidR="00F05EE3" w:rsidRPr="007800BC" w14:paraId="2A5E3A1E" w14:textId="77777777" w:rsidTr="00FF52DF">
        <w:trPr>
          <w:trHeight w:val="331"/>
        </w:trPr>
        <w:tc>
          <w:tcPr>
            <w:tcW w:w="3397" w:type="dxa"/>
            <w:shd w:val="clear" w:color="auto" w:fill="auto"/>
            <w:vAlign w:val="center"/>
            <w:hideMark/>
          </w:tcPr>
          <w:p w14:paraId="70480A61"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Public &amp; Community</w:t>
            </w:r>
          </w:p>
        </w:tc>
        <w:tc>
          <w:tcPr>
            <w:tcW w:w="1134" w:type="dxa"/>
            <w:shd w:val="clear" w:color="000000" w:fill="D9D9D9"/>
            <w:noWrap/>
            <w:vAlign w:val="center"/>
            <w:hideMark/>
          </w:tcPr>
          <w:p w14:paraId="16C32CF1"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589FDD36"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07F63B49"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0C4D0AC2"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02A2608A" w14:textId="77777777" w:rsidR="00F05EE3" w:rsidRPr="007800BC" w:rsidRDefault="00F05EE3" w:rsidP="009831E3">
            <w:pPr>
              <w:rPr>
                <w:rFonts w:ascii="Arial" w:eastAsia="Times New Roman" w:hAnsi="Arial" w:cs="Arial"/>
                <w:color w:val="000000"/>
                <w:szCs w:val="20"/>
                <w:lang w:val="en-US"/>
              </w:rPr>
            </w:pPr>
          </w:p>
        </w:tc>
      </w:tr>
      <w:tr w:rsidR="00F05EE3" w:rsidRPr="007800BC" w14:paraId="3470430B" w14:textId="77777777" w:rsidTr="00FF52DF">
        <w:trPr>
          <w:trHeight w:val="331"/>
        </w:trPr>
        <w:tc>
          <w:tcPr>
            <w:tcW w:w="3397" w:type="dxa"/>
            <w:shd w:val="clear" w:color="auto" w:fill="auto"/>
            <w:vAlign w:val="center"/>
            <w:hideMark/>
          </w:tcPr>
          <w:p w14:paraId="7BE85C46"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Roads</w:t>
            </w:r>
          </w:p>
        </w:tc>
        <w:tc>
          <w:tcPr>
            <w:tcW w:w="1134" w:type="dxa"/>
            <w:shd w:val="clear" w:color="000000" w:fill="D9D9D9"/>
            <w:noWrap/>
            <w:vAlign w:val="center"/>
            <w:hideMark/>
          </w:tcPr>
          <w:p w14:paraId="1C28F64C"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6A7D87AA"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6CCA7E97"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2F674E08"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29296764" w14:textId="77777777" w:rsidR="00F05EE3" w:rsidRPr="007800BC" w:rsidRDefault="00F05EE3" w:rsidP="009831E3">
            <w:pPr>
              <w:rPr>
                <w:rFonts w:ascii="Arial" w:eastAsia="Times New Roman" w:hAnsi="Arial" w:cs="Arial"/>
                <w:color w:val="000000"/>
                <w:szCs w:val="20"/>
                <w:lang w:val="en-US"/>
              </w:rPr>
            </w:pPr>
          </w:p>
        </w:tc>
      </w:tr>
      <w:tr w:rsidR="00F05EE3" w:rsidRPr="007800BC" w14:paraId="1849C504" w14:textId="77777777" w:rsidTr="00FF52DF">
        <w:trPr>
          <w:trHeight w:val="331"/>
        </w:trPr>
        <w:tc>
          <w:tcPr>
            <w:tcW w:w="3397" w:type="dxa"/>
            <w:shd w:val="clear" w:color="auto" w:fill="auto"/>
            <w:vAlign w:val="center"/>
            <w:hideMark/>
          </w:tcPr>
          <w:p w14:paraId="51C8BD0F"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Environmental</w:t>
            </w:r>
          </w:p>
        </w:tc>
        <w:tc>
          <w:tcPr>
            <w:tcW w:w="1134" w:type="dxa"/>
            <w:shd w:val="clear" w:color="000000" w:fill="D9D9D9"/>
            <w:noWrap/>
            <w:vAlign w:val="center"/>
            <w:hideMark/>
          </w:tcPr>
          <w:p w14:paraId="1D09CDE8"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1C2CEE83"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02C6D808"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215A667A"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241A1950" w14:textId="77777777" w:rsidR="00F05EE3" w:rsidRPr="007800BC" w:rsidRDefault="00F05EE3" w:rsidP="009831E3">
            <w:pPr>
              <w:rPr>
                <w:rFonts w:ascii="Arial" w:eastAsia="Times New Roman" w:hAnsi="Arial" w:cs="Arial"/>
                <w:color w:val="000000"/>
                <w:szCs w:val="20"/>
                <w:lang w:val="en-US"/>
              </w:rPr>
            </w:pPr>
          </w:p>
        </w:tc>
      </w:tr>
      <w:tr w:rsidR="00F05EE3" w:rsidRPr="007800BC" w14:paraId="70D18D77" w14:textId="77777777" w:rsidTr="00FF52DF">
        <w:trPr>
          <w:trHeight w:val="331"/>
        </w:trPr>
        <w:tc>
          <w:tcPr>
            <w:tcW w:w="3397" w:type="dxa"/>
            <w:tcBorders>
              <w:bottom w:val="single" w:sz="4" w:space="0" w:color="auto"/>
            </w:tcBorders>
            <w:shd w:val="clear" w:color="auto" w:fill="auto"/>
            <w:vAlign w:val="center"/>
            <w:hideMark/>
          </w:tcPr>
          <w:p w14:paraId="6117F1B5"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Heritage</w:t>
            </w:r>
          </w:p>
        </w:tc>
        <w:tc>
          <w:tcPr>
            <w:tcW w:w="1134" w:type="dxa"/>
            <w:tcBorders>
              <w:bottom w:val="single" w:sz="4" w:space="0" w:color="auto"/>
            </w:tcBorders>
            <w:shd w:val="clear" w:color="000000" w:fill="D9D9D9"/>
            <w:noWrap/>
            <w:vAlign w:val="center"/>
            <w:hideMark/>
          </w:tcPr>
          <w:p w14:paraId="6EA0A2FD"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tcBorders>
              <w:bottom w:val="single" w:sz="4" w:space="0" w:color="auto"/>
            </w:tcBorders>
            <w:shd w:val="clear" w:color="000000" w:fill="D9D9D9"/>
            <w:noWrap/>
            <w:vAlign w:val="center"/>
            <w:hideMark/>
          </w:tcPr>
          <w:p w14:paraId="2399B5E1"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tcBorders>
              <w:bottom w:val="single" w:sz="4" w:space="0" w:color="auto"/>
            </w:tcBorders>
            <w:shd w:val="clear" w:color="000000" w:fill="D9D9D9"/>
            <w:noWrap/>
            <w:vAlign w:val="center"/>
            <w:hideMark/>
          </w:tcPr>
          <w:p w14:paraId="5AE336DA"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tcBorders>
              <w:bottom w:val="single" w:sz="4" w:space="0" w:color="auto"/>
            </w:tcBorders>
            <w:shd w:val="clear" w:color="000000" w:fill="D9D9D9"/>
            <w:noWrap/>
            <w:vAlign w:val="center"/>
            <w:hideMark/>
          </w:tcPr>
          <w:p w14:paraId="59BC3949"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tcBorders>
              <w:bottom w:val="single" w:sz="4" w:space="0" w:color="auto"/>
            </w:tcBorders>
            <w:vAlign w:val="center"/>
            <w:hideMark/>
          </w:tcPr>
          <w:p w14:paraId="24EE9B89" w14:textId="77777777" w:rsidR="00F05EE3" w:rsidRPr="007800BC" w:rsidRDefault="00F05EE3" w:rsidP="009831E3">
            <w:pPr>
              <w:rPr>
                <w:rFonts w:ascii="Arial" w:eastAsia="Times New Roman" w:hAnsi="Arial" w:cs="Arial"/>
                <w:color w:val="000000"/>
                <w:szCs w:val="20"/>
                <w:lang w:val="en-US"/>
              </w:rPr>
            </w:pPr>
          </w:p>
        </w:tc>
      </w:tr>
      <w:tr w:rsidR="00F05EE3" w:rsidRPr="007800BC" w14:paraId="1DC3409C" w14:textId="77777777" w:rsidTr="00FF52DF">
        <w:trPr>
          <w:trHeight w:val="331"/>
        </w:trPr>
        <w:tc>
          <w:tcPr>
            <w:tcW w:w="3397" w:type="dxa"/>
            <w:tcBorders>
              <w:top w:val="single" w:sz="4" w:space="0" w:color="auto"/>
              <w:left w:val="single" w:sz="4" w:space="0" w:color="auto"/>
              <w:bottom w:val="single" w:sz="4" w:space="0" w:color="auto"/>
            </w:tcBorders>
            <w:shd w:val="clear" w:color="000000" w:fill="BCE9FE"/>
            <w:noWrap/>
            <w:vAlign w:val="center"/>
            <w:hideMark/>
          </w:tcPr>
          <w:p w14:paraId="322CFF00" w14:textId="77777777" w:rsidR="00F05EE3" w:rsidRPr="007800BC" w:rsidRDefault="00F05EE3" w:rsidP="009831E3">
            <w:pP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lastRenderedPageBreak/>
              <w:t>MU3 - Rushy Point to Limekilns Point</w:t>
            </w:r>
          </w:p>
        </w:tc>
        <w:tc>
          <w:tcPr>
            <w:tcW w:w="1134" w:type="dxa"/>
            <w:tcBorders>
              <w:top w:val="single" w:sz="4" w:space="0" w:color="auto"/>
              <w:bottom w:val="single" w:sz="4" w:space="0" w:color="auto"/>
            </w:tcBorders>
            <w:shd w:val="clear" w:color="000000" w:fill="BCE9FE"/>
            <w:noWrap/>
            <w:vAlign w:val="center"/>
            <w:hideMark/>
          </w:tcPr>
          <w:p w14:paraId="033F64B7"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134" w:type="dxa"/>
            <w:tcBorders>
              <w:top w:val="single" w:sz="4" w:space="0" w:color="auto"/>
              <w:bottom w:val="single" w:sz="4" w:space="0" w:color="auto"/>
            </w:tcBorders>
            <w:shd w:val="clear" w:color="000000" w:fill="BCE9FE"/>
            <w:noWrap/>
            <w:vAlign w:val="center"/>
            <w:hideMark/>
          </w:tcPr>
          <w:p w14:paraId="32077F6C"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134" w:type="dxa"/>
            <w:tcBorders>
              <w:top w:val="single" w:sz="4" w:space="0" w:color="auto"/>
              <w:bottom w:val="single" w:sz="4" w:space="0" w:color="auto"/>
            </w:tcBorders>
            <w:shd w:val="clear" w:color="000000" w:fill="BCE9FE"/>
            <w:noWrap/>
            <w:vAlign w:val="center"/>
            <w:hideMark/>
          </w:tcPr>
          <w:p w14:paraId="64B01BE4"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432" w:type="dxa"/>
            <w:tcBorders>
              <w:top w:val="single" w:sz="4" w:space="0" w:color="auto"/>
              <w:bottom w:val="single" w:sz="4" w:space="0" w:color="auto"/>
            </w:tcBorders>
            <w:shd w:val="clear" w:color="000000" w:fill="BCE9FE"/>
            <w:noWrap/>
            <w:vAlign w:val="center"/>
            <w:hideMark/>
          </w:tcPr>
          <w:p w14:paraId="532AD983"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397" w:type="dxa"/>
            <w:tcBorders>
              <w:top w:val="single" w:sz="4" w:space="0" w:color="auto"/>
              <w:bottom w:val="single" w:sz="4" w:space="0" w:color="auto"/>
              <w:right w:val="single" w:sz="4" w:space="0" w:color="auto"/>
            </w:tcBorders>
            <w:shd w:val="clear" w:color="000000" w:fill="BCE9FE"/>
            <w:vAlign w:val="center"/>
            <w:hideMark/>
          </w:tcPr>
          <w:p w14:paraId="2DE74EB5" w14:textId="77777777" w:rsidR="00F05EE3" w:rsidRPr="007800BC" w:rsidRDefault="00F05EE3" w:rsidP="009831E3">
            <w:pP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r>
      <w:tr w:rsidR="00F05EE3" w:rsidRPr="007800BC" w14:paraId="10468455" w14:textId="77777777" w:rsidTr="00FF52DF">
        <w:trPr>
          <w:trHeight w:val="331"/>
        </w:trPr>
        <w:tc>
          <w:tcPr>
            <w:tcW w:w="3397" w:type="dxa"/>
            <w:tcBorders>
              <w:top w:val="single" w:sz="4" w:space="0" w:color="auto"/>
            </w:tcBorders>
            <w:shd w:val="clear" w:color="auto" w:fill="auto"/>
            <w:vAlign w:val="center"/>
            <w:hideMark/>
          </w:tcPr>
          <w:p w14:paraId="669265C1"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Residential</w:t>
            </w:r>
          </w:p>
        </w:tc>
        <w:tc>
          <w:tcPr>
            <w:tcW w:w="1134" w:type="dxa"/>
            <w:tcBorders>
              <w:top w:val="single" w:sz="4" w:space="0" w:color="auto"/>
            </w:tcBorders>
            <w:shd w:val="clear" w:color="000000" w:fill="D9D9D9"/>
            <w:noWrap/>
            <w:vAlign w:val="center"/>
            <w:hideMark/>
          </w:tcPr>
          <w:p w14:paraId="19568916"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tcBorders>
              <w:top w:val="single" w:sz="4" w:space="0" w:color="auto"/>
            </w:tcBorders>
            <w:shd w:val="clear" w:color="000000" w:fill="D9D9D9"/>
            <w:noWrap/>
            <w:vAlign w:val="center"/>
            <w:hideMark/>
          </w:tcPr>
          <w:p w14:paraId="27D5E104"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tcBorders>
              <w:top w:val="single" w:sz="4" w:space="0" w:color="auto"/>
            </w:tcBorders>
            <w:shd w:val="clear" w:color="000000" w:fill="D9D9D9"/>
            <w:noWrap/>
            <w:vAlign w:val="center"/>
            <w:hideMark/>
          </w:tcPr>
          <w:p w14:paraId="53262FFE"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tcBorders>
              <w:top w:val="single" w:sz="4" w:space="0" w:color="auto"/>
            </w:tcBorders>
            <w:shd w:val="clear" w:color="000000" w:fill="D9D9D9"/>
            <w:noWrap/>
            <w:vAlign w:val="center"/>
            <w:hideMark/>
          </w:tcPr>
          <w:p w14:paraId="7B0BFF6F"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restart"/>
            <w:tcBorders>
              <w:top w:val="single" w:sz="4" w:space="0" w:color="auto"/>
            </w:tcBorders>
            <w:shd w:val="clear" w:color="auto" w:fill="auto"/>
            <w:vAlign w:val="center"/>
            <w:hideMark/>
          </w:tcPr>
          <w:p w14:paraId="16532F33"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 xml:space="preserve">Erosion is a key risk for 6 of the 7 categories within this </w:t>
            </w:r>
            <w:r>
              <w:rPr>
                <w:rFonts w:ascii="Arial" w:eastAsia="Times New Roman" w:hAnsi="Arial" w:cs="Arial"/>
                <w:color w:val="000000"/>
                <w:szCs w:val="20"/>
                <w:lang w:val="en-US"/>
              </w:rPr>
              <w:t>MU</w:t>
            </w:r>
            <w:r w:rsidRPr="007800BC">
              <w:rPr>
                <w:rFonts w:ascii="Arial" w:eastAsia="Times New Roman" w:hAnsi="Arial" w:cs="Arial"/>
                <w:color w:val="000000"/>
                <w:szCs w:val="20"/>
                <w:lang w:val="en-US"/>
              </w:rPr>
              <w:t>.</w:t>
            </w:r>
          </w:p>
        </w:tc>
      </w:tr>
      <w:tr w:rsidR="00F05EE3" w:rsidRPr="007800BC" w14:paraId="35924ABD" w14:textId="77777777" w:rsidTr="00FF52DF">
        <w:trPr>
          <w:trHeight w:val="331"/>
        </w:trPr>
        <w:tc>
          <w:tcPr>
            <w:tcW w:w="3397" w:type="dxa"/>
            <w:shd w:val="clear" w:color="auto" w:fill="auto"/>
            <w:vAlign w:val="center"/>
            <w:hideMark/>
          </w:tcPr>
          <w:p w14:paraId="7C4F6B52"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Commercial</w:t>
            </w:r>
          </w:p>
        </w:tc>
        <w:tc>
          <w:tcPr>
            <w:tcW w:w="1134" w:type="dxa"/>
            <w:shd w:val="clear" w:color="000000" w:fill="D9D9D9"/>
            <w:noWrap/>
            <w:vAlign w:val="center"/>
            <w:hideMark/>
          </w:tcPr>
          <w:p w14:paraId="0DD51CB5"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43BAFF3B"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77DE4C1A"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261A8133"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61DB4FD3" w14:textId="77777777" w:rsidR="00F05EE3" w:rsidRPr="007800BC" w:rsidRDefault="00F05EE3" w:rsidP="009831E3">
            <w:pPr>
              <w:rPr>
                <w:rFonts w:ascii="Arial" w:eastAsia="Times New Roman" w:hAnsi="Arial" w:cs="Arial"/>
                <w:color w:val="000000"/>
                <w:szCs w:val="20"/>
                <w:lang w:val="en-US"/>
              </w:rPr>
            </w:pPr>
          </w:p>
        </w:tc>
      </w:tr>
      <w:tr w:rsidR="00F05EE3" w:rsidRPr="007800BC" w14:paraId="0BE52D8D" w14:textId="77777777" w:rsidTr="00FF52DF">
        <w:trPr>
          <w:trHeight w:val="331"/>
        </w:trPr>
        <w:tc>
          <w:tcPr>
            <w:tcW w:w="3397" w:type="dxa"/>
            <w:shd w:val="clear" w:color="auto" w:fill="auto"/>
            <w:vAlign w:val="center"/>
            <w:hideMark/>
          </w:tcPr>
          <w:p w14:paraId="4849FC84"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Developed Foreshore Reserve</w:t>
            </w:r>
          </w:p>
        </w:tc>
        <w:tc>
          <w:tcPr>
            <w:tcW w:w="1134" w:type="dxa"/>
            <w:shd w:val="clear" w:color="000000" w:fill="D9D9D9"/>
            <w:noWrap/>
            <w:vAlign w:val="center"/>
            <w:hideMark/>
          </w:tcPr>
          <w:p w14:paraId="59693535"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342B299E"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76E8536F"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432" w:type="dxa"/>
            <w:shd w:val="clear" w:color="000000" w:fill="D9D9D9"/>
            <w:noWrap/>
            <w:vAlign w:val="center"/>
            <w:hideMark/>
          </w:tcPr>
          <w:p w14:paraId="49D5BCA3"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397" w:type="dxa"/>
            <w:vMerge/>
            <w:vAlign w:val="center"/>
            <w:hideMark/>
          </w:tcPr>
          <w:p w14:paraId="27B2A809" w14:textId="77777777" w:rsidR="00F05EE3" w:rsidRPr="007800BC" w:rsidRDefault="00F05EE3" w:rsidP="009831E3">
            <w:pPr>
              <w:rPr>
                <w:rFonts w:ascii="Arial" w:eastAsia="Times New Roman" w:hAnsi="Arial" w:cs="Arial"/>
                <w:color w:val="000000"/>
                <w:szCs w:val="20"/>
                <w:lang w:val="en-US"/>
              </w:rPr>
            </w:pPr>
          </w:p>
        </w:tc>
      </w:tr>
      <w:tr w:rsidR="00F05EE3" w:rsidRPr="007800BC" w14:paraId="08E9477F" w14:textId="77777777" w:rsidTr="00FF52DF">
        <w:trPr>
          <w:trHeight w:val="331"/>
        </w:trPr>
        <w:tc>
          <w:tcPr>
            <w:tcW w:w="3397" w:type="dxa"/>
            <w:shd w:val="clear" w:color="auto" w:fill="auto"/>
            <w:vAlign w:val="center"/>
            <w:hideMark/>
          </w:tcPr>
          <w:p w14:paraId="72112A40"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Public &amp; Community</w:t>
            </w:r>
          </w:p>
        </w:tc>
        <w:tc>
          <w:tcPr>
            <w:tcW w:w="1134" w:type="dxa"/>
            <w:shd w:val="clear" w:color="000000" w:fill="D9D9D9"/>
            <w:noWrap/>
            <w:vAlign w:val="center"/>
            <w:hideMark/>
          </w:tcPr>
          <w:p w14:paraId="178EC3A7"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5AF48E72"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73098EC4"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50B6EFDC"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151CB21A" w14:textId="77777777" w:rsidR="00F05EE3" w:rsidRPr="007800BC" w:rsidRDefault="00F05EE3" w:rsidP="009831E3">
            <w:pPr>
              <w:rPr>
                <w:rFonts w:ascii="Arial" w:eastAsia="Times New Roman" w:hAnsi="Arial" w:cs="Arial"/>
                <w:color w:val="000000"/>
                <w:szCs w:val="20"/>
                <w:lang w:val="en-US"/>
              </w:rPr>
            </w:pPr>
          </w:p>
        </w:tc>
      </w:tr>
      <w:tr w:rsidR="00F05EE3" w:rsidRPr="007800BC" w14:paraId="42B761D0" w14:textId="77777777" w:rsidTr="00FF52DF">
        <w:trPr>
          <w:trHeight w:val="331"/>
        </w:trPr>
        <w:tc>
          <w:tcPr>
            <w:tcW w:w="3397" w:type="dxa"/>
            <w:shd w:val="clear" w:color="auto" w:fill="auto"/>
            <w:vAlign w:val="center"/>
            <w:hideMark/>
          </w:tcPr>
          <w:p w14:paraId="78688184"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Roads</w:t>
            </w:r>
          </w:p>
        </w:tc>
        <w:tc>
          <w:tcPr>
            <w:tcW w:w="1134" w:type="dxa"/>
            <w:shd w:val="clear" w:color="000000" w:fill="D9D9D9"/>
            <w:noWrap/>
            <w:vAlign w:val="center"/>
            <w:hideMark/>
          </w:tcPr>
          <w:p w14:paraId="5C3D8F80"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40B706BA"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4889F69F"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6FC6FE90"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4020BB1F" w14:textId="77777777" w:rsidR="00F05EE3" w:rsidRPr="007800BC" w:rsidRDefault="00F05EE3" w:rsidP="009831E3">
            <w:pPr>
              <w:rPr>
                <w:rFonts w:ascii="Arial" w:eastAsia="Times New Roman" w:hAnsi="Arial" w:cs="Arial"/>
                <w:color w:val="000000"/>
                <w:szCs w:val="20"/>
                <w:lang w:val="en-US"/>
              </w:rPr>
            </w:pPr>
          </w:p>
        </w:tc>
      </w:tr>
      <w:tr w:rsidR="00F05EE3" w:rsidRPr="007800BC" w14:paraId="0EEB7427" w14:textId="77777777" w:rsidTr="00FF52DF">
        <w:trPr>
          <w:trHeight w:val="331"/>
        </w:trPr>
        <w:tc>
          <w:tcPr>
            <w:tcW w:w="3397" w:type="dxa"/>
            <w:shd w:val="clear" w:color="auto" w:fill="auto"/>
            <w:vAlign w:val="center"/>
            <w:hideMark/>
          </w:tcPr>
          <w:p w14:paraId="10304254"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Environmental</w:t>
            </w:r>
          </w:p>
        </w:tc>
        <w:tc>
          <w:tcPr>
            <w:tcW w:w="1134" w:type="dxa"/>
            <w:shd w:val="clear" w:color="000000" w:fill="D9D9D9"/>
            <w:noWrap/>
            <w:vAlign w:val="center"/>
            <w:hideMark/>
          </w:tcPr>
          <w:p w14:paraId="266D5B39"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4C5150DB"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6697AF68"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64311E6B"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4B68CF74" w14:textId="77777777" w:rsidR="00F05EE3" w:rsidRPr="007800BC" w:rsidRDefault="00F05EE3" w:rsidP="009831E3">
            <w:pPr>
              <w:rPr>
                <w:rFonts w:ascii="Arial" w:eastAsia="Times New Roman" w:hAnsi="Arial" w:cs="Arial"/>
                <w:color w:val="000000"/>
                <w:szCs w:val="20"/>
                <w:lang w:val="en-US"/>
              </w:rPr>
            </w:pPr>
          </w:p>
        </w:tc>
      </w:tr>
      <w:tr w:rsidR="00F05EE3" w:rsidRPr="007800BC" w14:paraId="337B076E" w14:textId="77777777" w:rsidTr="00FF52DF">
        <w:trPr>
          <w:trHeight w:val="331"/>
        </w:trPr>
        <w:tc>
          <w:tcPr>
            <w:tcW w:w="3397" w:type="dxa"/>
            <w:tcBorders>
              <w:bottom w:val="single" w:sz="4" w:space="0" w:color="auto"/>
            </w:tcBorders>
            <w:shd w:val="clear" w:color="auto" w:fill="auto"/>
            <w:vAlign w:val="center"/>
            <w:hideMark/>
          </w:tcPr>
          <w:p w14:paraId="79D3BBEE"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Heritage</w:t>
            </w:r>
          </w:p>
        </w:tc>
        <w:tc>
          <w:tcPr>
            <w:tcW w:w="1134" w:type="dxa"/>
            <w:tcBorders>
              <w:bottom w:val="single" w:sz="4" w:space="0" w:color="auto"/>
            </w:tcBorders>
            <w:shd w:val="clear" w:color="000000" w:fill="D9D9D9"/>
            <w:noWrap/>
            <w:vAlign w:val="center"/>
            <w:hideMark/>
          </w:tcPr>
          <w:p w14:paraId="4ADD8967"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tcBorders>
              <w:bottom w:val="single" w:sz="4" w:space="0" w:color="auto"/>
            </w:tcBorders>
            <w:shd w:val="clear" w:color="000000" w:fill="D9D9D9"/>
            <w:noWrap/>
            <w:vAlign w:val="center"/>
            <w:hideMark/>
          </w:tcPr>
          <w:p w14:paraId="2FED1CA5"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tcBorders>
              <w:bottom w:val="single" w:sz="4" w:space="0" w:color="auto"/>
            </w:tcBorders>
            <w:shd w:val="clear" w:color="000000" w:fill="D9D9D9"/>
            <w:noWrap/>
            <w:vAlign w:val="center"/>
            <w:hideMark/>
          </w:tcPr>
          <w:p w14:paraId="3670B2D2"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tcBorders>
              <w:bottom w:val="single" w:sz="4" w:space="0" w:color="auto"/>
            </w:tcBorders>
            <w:shd w:val="clear" w:color="000000" w:fill="D9D9D9"/>
            <w:noWrap/>
            <w:vAlign w:val="center"/>
            <w:hideMark/>
          </w:tcPr>
          <w:p w14:paraId="1C88E3B4"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tcBorders>
              <w:bottom w:val="single" w:sz="4" w:space="0" w:color="auto"/>
            </w:tcBorders>
            <w:vAlign w:val="center"/>
            <w:hideMark/>
          </w:tcPr>
          <w:p w14:paraId="4A9439D2" w14:textId="77777777" w:rsidR="00F05EE3" w:rsidRPr="007800BC" w:rsidRDefault="00F05EE3" w:rsidP="009831E3">
            <w:pPr>
              <w:rPr>
                <w:rFonts w:ascii="Arial" w:eastAsia="Times New Roman" w:hAnsi="Arial" w:cs="Arial"/>
                <w:color w:val="000000"/>
                <w:szCs w:val="20"/>
                <w:lang w:val="en-US"/>
              </w:rPr>
            </w:pPr>
          </w:p>
        </w:tc>
      </w:tr>
      <w:tr w:rsidR="00F05EE3" w:rsidRPr="007800BC" w14:paraId="7E400FB1" w14:textId="77777777" w:rsidTr="00FF52DF">
        <w:trPr>
          <w:trHeight w:val="331"/>
        </w:trPr>
        <w:tc>
          <w:tcPr>
            <w:tcW w:w="3397" w:type="dxa"/>
            <w:tcBorders>
              <w:top w:val="single" w:sz="4" w:space="0" w:color="auto"/>
              <w:left w:val="single" w:sz="4" w:space="0" w:color="auto"/>
              <w:bottom w:val="single" w:sz="4" w:space="0" w:color="auto"/>
            </w:tcBorders>
            <w:shd w:val="clear" w:color="000000" w:fill="BCE9FE"/>
            <w:noWrap/>
            <w:vAlign w:val="center"/>
            <w:hideMark/>
          </w:tcPr>
          <w:p w14:paraId="11D8CE25" w14:textId="77777777" w:rsidR="00F05EE3" w:rsidRPr="007800BC" w:rsidRDefault="00F05EE3" w:rsidP="009831E3">
            <w:pP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MU4 - Limekilns Point to Geake Point</w:t>
            </w:r>
          </w:p>
        </w:tc>
        <w:tc>
          <w:tcPr>
            <w:tcW w:w="1134" w:type="dxa"/>
            <w:tcBorders>
              <w:top w:val="single" w:sz="4" w:space="0" w:color="auto"/>
              <w:bottom w:val="single" w:sz="4" w:space="0" w:color="auto"/>
            </w:tcBorders>
            <w:shd w:val="clear" w:color="000000" w:fill="BCE9FE"/>
            <w:noWrap/>
            <w:vAlign w:val="center"/>
            <w:hideMark/>
          </w:tcPr>
          <w:p w14:paraId="45692A59"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134" w:type="dxa"/>
            <w:tcBorders>
              <w:top w:val="single" w:sz="4" w:space="0" w:color="auto"/>
              <w:bottom w:val="single" w:sz="4" w:space="0" w:color="auto"/>
            </w:tcBorders>
            <w:shd w:val="clear" w:color="000000" w:fill="BCE9FE"/>
            <w:noWrap/>
            <w:vAlign w:val="center"/>
            <w:hideMark/>
          </w:tcPr>
          <w:p w14:paraId="6E8A680E"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134" w:type="dxa"/>
            <w:tcBorders>
              <w:top w:val="single" w:sz="4" w:space="0" w:color="auto"/>
              <w:bottom w:val="single" w:sz="4" w:space="0" w:color="auto"/>
            </w:tcBorders>
            <w:shd w:val="clear" w:color="000000" w:fill="BCE9FE"/>
            <w:noWrap/>
            <w:vAlign w:val="center"/>
            <w:hideMark/>
          </w:tcPr>
          <w:p w14:paraId="4EC6C51D"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432" w:type="dxa"/>
            <w:tcBorders>
              <w:top w:val="single" w:sz="4" w:space="0" w:color="auto"/>
              <w:bottom w:val="single" w:sz="4" w:space="0" w:color="auto"/>
            </w:tcBorders>
            <w:shd w:val="clear" w:color="000000" w:fill="BCE9FE"/>
            <w:noWrap/>
            <w:vAlign w:val="center"/>
            <w:hideMark/>
          </w:tcPr>
          <w:p w14:paraId="3A84D642"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397" w:type="dxa"/>
            <w:tcBorders>
              <w:top w:val="single" w:sz="4" w:space="0" w:color="auto"/>
              <w:bottom w:val="single" w:sz="4" w:space="0" w:color="auto"/>
              <w:right w:val="single" w:sz="4" w:space="0" w:color="auto"/>
            </w:tcBorders>
            <w:shd w:val="clear" w:color="000000" w:fill="BCE9FE"/>
            <w:vAlign w:val="center"/>
            <w:hideMark/>
          </w:tcPr>
          <w:p w14:paraId="151C6AF6" w14:textId="77777777" w:rsidR="00F05EE3" w:rsidRPr="007800BC" w:rsidRDefault="00F05EE3" w:rsidP="009831E3">
            <w:pP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r>
      <w:tr w:rsidR="00F05EE3" w:rsidRPr="007800BC" w14:paraId="26A673B1" w14:textId="77777777" w:rsidTr="00FF52DF">
        <w:trPr>
          <w:trHeight w:val="331"/>
        </w:trPr>
        <w:tc>
          <w:tcPr>
            <w:tcW w:w="3397" w:type="dxa"/>
            <w:tcBorders>
              <w:top w:val="single" w:sz="4" w:space="0" w:color="auto"/>
            </w:tcBorders>
            <w:shd w:val="clear" w:color="auto" w:fill="auto"/>
            <w:vAlign w:val="center"/>
            <w:hideMark/>
          </w:tcPr>
          <w:p w14:paraId="7AA6FF92"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Residential</w:t>
            </w:r>
          </w:p>
        </w:tc>
        <w:tc>
          <w:tcPr>
            <w:tcW w:w="1134" w:type="dxa"/>
            <w:tcBorders>
              <w:top w:val="single" w:sz="4" w:space="0" w:color="auto"/>
            </w:tcBorders>
            <w:shd w:val="clear" w:color="000000" w:fill="D9D9D9"/>
            <w:noWrap/>
            <w:vAlign w:val="center"/>
            <w:hideMark/>
          </w:tcPr>
          <w:p w14:paraId="73A7710F"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tcBorders>
              <w:top w:val="single" w:sz="4" w:space="0" w:color="auto"/>
            </w:tcBorders>
            <w:shd w:val="clear" w:color="000000" w:fill="D9D9D9"/>
            <w:noWrap/>
            <w:vAlign w:val="center"/>
            <w:hideMark/>
          </w:tcPr>
          <w:p w14:paraId="79A93160"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tcBorders>
              <w:top w:val="single" w:sz="4" w:space="0" w:color="auto"/>
            </w:tcBorders>
            <w:shd w:val="clear" w:color="000000" w:fill="D9D9D9"/>
            <w:noWrap/>
            <w:vAlign w:val="center"/>
            <w:hideMark/>
          </w:tcPr>
          <w:p w14:paraId="6AD8237D"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tcBorders>
              <w:top w:val="single" w:sz="4" w:space="0" w:color="auto"/>
            </w:tcBorders>
            <w:shd w:val="clear" w:color="000000" w:fill="D9D9D9"/>
            <w:noWrap/>
            <w:vAlign w:val="center"/>
            <w:hideMark/>
          </w:tcPr>
          <w:p w14:paraId="00D656BE"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restart"/>
            <w:tcBorders>
              <w:top w:val="single" w:sz="4" w:space="0" w:color="auto"/>
            </w:tcBorders>
            <w:shd w:val="clear" w:color="auto" w:fill="auto"/>
            <w:vAlign w:val="center"/>
            <w:hideMark/>
          </w:tcPr>
          <w:p w14:paraId="39CA72E4"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 xml:space="preserve">Erosion is a key risk for </w:t>
            </w:r>
            <w:r>
              <w:rPr>
                <w:rFonts w:ascii="Arial" w:eastAsia="Times New Roman" w:hAnsi="Arial" w:cs="Arial"/>
                <w:color w:val="000000"/>
                <w:szCs w:val="20"/>
                <w:lang w:val="en-US"/>
              </w:rPr>
              <w:t>5</w:t>
            </w:r>
            <w:r w:rsidRPr="007800BC">
              <w:rPr>
                <w:rFonts w:ascii="Arial" w:eastAsia="Times New Roman" w:hAnsi="Arial" w:cs="Arial"/>
                <w:color w:val="000000"/>
                <w:szCs w:val="20"/>
                <w:lang w:val="en-US"/>
              </w:rPr>
              <w:t xml:space="preserve"> of the 7 categories within this </w:t>
            </w:r>
            <w:r>
              <w:rPr>
                <w:rFonts w:ascii="Arial" w:eastAsia="Times New Roman" w:hAnsi="Arial" w:cs="Arial"/>
                <w:color w:val="000000"/>
                <w:szCs w:val="20"/>
                <w:lang w:val="en-US"/>
              </w:rPr>
              <w:t>MU</w:t>
            </w:r>
            <w:r w:rsidRPr="007800BC">
              <w:rPr>
                <w:rFonts w:ascii="Arial" w:eastAsia="Times New Roman" w:hAnsi="Arial" w:cs="Arial"/>
                <w:color w:val="000000"/>
                <w:szCs w:val="20"/>
                <w:lang w:val="en-US"/>
              </w:rPr>
              <w:t>.</w:t>
            </w:r>
          </w:p>
        </w:tc>
      </w:tr>
      <w:tr w:rsidR="00F05EE3" w:rsidRPr="007800BC" w14:paraId="4EBF1FFD" w14:textId="77777777" w:rsidTr="00FF52DF">
        <w:trPr>
          <w:trHeight w:val="331"/>
        </w:trPr>
        <w:tc>
          <w:tcPr>
            <w:tcW w:w="3397" w:type="dxa"/>
            <w:shd w:val="clear" w:color="auto" w:fill="auto"/>
            <w:vAlign w:val="center"/>
            <w:hideMark/>
          </w:tcPr>
          <w:p w14:paraId="5AB10A97"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Developed Foreshore Reserve</w:t>
            </w:r>
          </w:p>
        </w:tc>
        <w:tc>
          <w:tcPr>
            <w:tcW w:w="1134" w:type="dxa"/>
            <w:shd w:val="clear" w:color="000000" w:fill="D9D9D9"/>
            <w:noWrap/>
            <w:vAlign w:val="center"/>
            <w:hideMark/>
          </w:tcPr>
          <w:p w14:paraId="54F03306"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1DE243CD"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0C4FC20E"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432" w:type="dxa"/>
            <w:shd w:val="clear" w:color="000000" w:fill="D9D9D9"/>
            <w:noWrap/>
            <w:vAlign w:val="center"/>
            <w:hideMark/>
          </w:tcPr>
          <w:p w14:paraId="6AD43780"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397" w:type="dxa"/>
            <w:vMerge/>
            <w:vAlign w:val="center"/>
            <w:hideMark/>
          </w:tcPr>
          <w:p w14:paraId="6A620DFA" w14:textId="77777777" w:rsidR="00F05EE3" w:rsidRPr="007800BC" w:rsidRDefault="00F05EE3" w:rsidP="009831E3">
            <w:pPr>
              <w:rPr>
                <w:rFonts w:ascii="Arial" w:eastAsia="Times New Roman" w:hAnsi="Arial" w:cs="Arial"/>
                <w:color w:val="000000"/>
                <w:szCs w:val="20"/>
                <w:lang w:val="en-US"/>
              </w:rPr>
            </w:pPr>
          </w:p>
        </w:tc>
      </w:tr>
      <w:tr w:rsidR="00F05EE3" w:rsidRPr="007800BC" w14:paraId="09566A5C" w14:textId="77777777" w:rsidTr="00FF52DF">
        <w:trPr>
          <w:trHeight w:val="331"/>
        </w:trPr>
        <w:tc>
          <w:tcPr>
            <w:tcW w:w="3397" w:type="dxa"/>
            <w:shd w:val="clear" w:color="auto" w:fill="auto"/>
            <w:vAlign w:val="center"/>
            <w:hideMark/>
          </w:tcPr>
          <w:p w14:paraId="153B0388"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Public &amp; Community</w:t>
            </w:r>
          </w:p>
        </w:tc>
        <w:tc>
          <w:tcPr>
            <w:tcW w:w="1134" w:type="dxa"/>
            <w:shd w:val="clear" w:color="000000" w:fill="D9D9D9"/>
            <w:noWrap/>
            <w:vAlign w:val="center"/>
            <w:hideMark/>
          </w:tcPr>
          <w:p w14:paraId="14032AFC"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5894D053"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6008E4A1"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432" w:type="dxa"/>
            <w:shd w:val="clear" w:color="000000" w:fill="D9D9D9"/>
            <w:noWrap/>
            <w:vAlign w:val="center"/>
            <w:hideMark/>
          </w:tcPr>
          <w:p w14:paraId="5037E495"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0B48F7C8" w14:textId="77777777" w:rsidR="00F05EE3" w:rsidRPr="007800BC" w:rsidRDefault="00F05EE3" w:rsidP="009831E3">
            <w:pPr>
              <w:rPr>
                <w:rFonts w:ascii="Arial" w:eastAsia="Times New Roman" w:hAnsi="Arial" w:cs="Arial"/>
                <w:color w:val="000000"/>
                <w:szCs w:val="20"/>
                <w:lang w:val="en-US"/>
              </w:rPr>
            </w:pPr>
          </w:p>
        </w:tc>
      </w:tr>
      <w:tr w:rsidR="00F05EE3" w:rsidRPr="007800BC" w14:paraId="667C2CE3" w14:textId="77777777" w:rsidTr="00FF52DF">
        <w:trPr>
          <w:trHeight w:val="331"/>
        </w:trPr>
        <w:tc>
          <w:tcPr>
            <w:tcW w:w="3397" w:type="dxa"/>
            <w:shd w:val="clear" w:color="auto" w:fill="auto"/>
            <w:vAlign w:val="center"/>
            <w:hideMark/>
          </w:tcPr>
          <w:p w14:paraId="533AEF76"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Roads</w:t>
            </w:r>
          </w:p>
        </w:tc>
        <w:tc>
          <w:tcPr>
            <w:tcW w:w="1134" w:type="dxa"/>
            <w:shd w:val="clear" w:color="000000" w:fill="D9D9D9"/>
            <w:noWrap/>
            <w:vAlign w:val="center"/>
            <w:hideMark/>
          </w:tcPr>
          <w:p w14:paraId="170169DF"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2C4747FC"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45A15C53"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5A5FA475"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22350136" w14:textId="77777777" w:rsidR="00F05EE3" w:rsidRPr="007800BC" w:rsidRDefault="00F05EE3" w:rsidP="009831E3">
            <w:pPr>
              <w:rPr>
                <w:rFonts w:ascii="Arial" w:eastAsia="Times New Roman" w:hAnsi="Arial" w:cs="Arial"/>
                <w:color w:val="000000"/>
                <w:szCs w:val="20"/>
                <w:lang w:val="en-US"/>
              </w:rPr>
            </w:pPr>
          </w:p>
        </w:tc>
      </w:tr>
      <w:tr w:rsidR="00F05EE3" w:rsidRPr="007800BC" w14:paraId="3A6A1A74" w14:textId="77777777" w:rsidTr="00FF52DF">
        <w:trPr>
          <w:trHeight w:val="331"/>
        </w:trPr>
        <w:tc>
          <w:tcPr>
            <w:tcW w:w="3397" w:type="dxa"/>
            <w:shd w:val="clear" w:color="auto" w:fill="auto"/>
            <w:vAlign w:val="center"/>
            <w:hideMark/>
          </w:tcPr>
          <w:p w14:paraId="44D2EA1D"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Environmental</w:t>
            </w:r>
          </w:p>
        </w:tc>
        <w:tc>
          <w:tcPr>
            <w:tcW w:w="1134" w:type="dxa"/>
            <w:shd w:val="clear" w:color="000000" w:fill="D9D9D9"/>
            <w:noWrap/>
            <w:vAlign w:val="center"/>
            <w:hideMark/>
          </w:tcPr>
          <w:p w14:paraId="6A6C38B8"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54C8D10C"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370889E8"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5D9F6D3C"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482E7C79" w14:textId="77777777" w:rsidR="00F05EE3" w:rsidRPr="007800BC" w:rsidRDefault="00F05EE3" w:rsidP="009831E3">
            <w:pPr>
              <w:rPr>
                <w:rFonts w:ascii="Arial" w:eastAsia="Times New Roman" w:hAnsi="Arial" w:cs="Arial"/>
                <w:color w:val="000000"/>
                <w:szCs w:val="20"/>
                <w:lang w:val="en-US"/>
              </w:rPr>
            </w:pPr>
          </w:p>
        </w:tc>
      </w:tr>
      <w:tr w:rsidR="00F05EE3" w:rsidRPr="007800BC" w14:paraId="74BC6F49" w14:textId="77777777" w:rsidTr="00FF52DF">
        <w:trPr>
          <w:trHeight w:val="331"/>
        </w:trPr>
        <w:tc>
          <w:tcPr>
            <w:tcW w:w="3397" w:type="dxa"/>
            <w:tcBorders>
              <w:bottom w:val="single" w:sz="4" w:space="0" w:color="auto"/>
            </w:tcBorders>
            <w:shd w:val="clear" w:color="auto" w:fill="auto"/>
            <w:vAlign w:val="center"/>
            <w:hideMark/>
          </w:tcPr>
          <w:p w14:paraId="1385AE95"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Heritage</w:t>
            </w:r>
          </w:p>
        </w:tc>
        <w:tc>
          <w:tcPr>
            <w:tcW w:w="1134" w:type="dxa"/>
            <w:tcBorders>
              <w:bottom w:val="single" w:sz="4" w:space="0" w:color="auto"/>
            </w:tcBorders>
            <w:shd w:val="clear" w:color="000000" w:fill="D9D9D9"/>
            <w:noWrap/>
            <w:vAlign w:val="center"/>
            <w:hideMark/>
          </w:tcPr>
          <w:p w14:paraId="0A8746D3"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tcBorders>
              <w:bottom w:val="single" w:sz="4" w:space="0" w:color="auto"/>
            </w:tcBorders>
            <w:shd w:val="clear" w:color="000000" w:fill="D9D9D9"/>
            <w:noWrap/>
            <w:vAlign w:val="center"/>
            <w:hideMark/>
          </w:tcPr>
          <w:p w14:paraId="02B4C514"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tcBorders>
              <w:bottom w:val="single" w:sz="4" w:space="0" w:color="auto"/>
            </w:tcBorders>
            <w:shd w:val="clear" w:color="000000" w:fill="D9D9D9"/>
            <w:noWrap/>
            <w:vAlign w:val="center"/>
            <w:hideMark/>
          </w:tcPr>
          <w:p w14:paraId="6BF93B1F"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tcBorders>
              <w:bottom w:val="single" w:sz="4" w:space="0" w:color="auto"/>
            </w:tcBorders>
            <w:shd w:val="clear" w:color="000000" w:fill="D9D9D9"/>
            <w:noWrap/>
            <w:vAlign w:val="center"/>
            <w:hideMark/>
          </w:tcPr>
          <w:p w14:paraId="535E1092"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tcBorders>
              <w:bottom w:val="single" w:sz="4" w:space="0" w:color="auto"/>
            </w:tcBorders>
            <w:vAlign w:val="center"/>
            <w:hideMark/>
          </w:tcPr>
          <w:p w14:paraId="5AAE88A1" w14:textId="77777777" w:rsidR="00F05EE3" w:rsidRPr="007800BC" w:rsidRDefault="00F05EE3" w:rsidP="009831E3">
            <w:pPr>
              <w:rPr>
                <w:rFonts w:ascii="Arial" w:eastAsia="Times New Roman" w:hAnsi="Arial" w:cs="Arial"/>
                <w:color w:val="000000"/>
                <w:szCs w:val="20"/>
                <w:lang w:val="en-US"/>
              </w:rPr>
            </w:pPr>
          </w:p>
        </w:tc>
      </w:tr>
      <w:tr w:rsidR="00F05EE3" w:rsidRPr="007800BC" w14:paraId="3818AC39" w14:textId="77777777" w:rsidTr="00FF52DF">
        <w:trPr>
          <w:trHeight w:val="331"/>
        </w:trPr>
        <w:tc>
          <w:tcPr>
            <w:tcW w:w="3397" w:type="dxa"/>
            <w:tcBorders>
              <w:top w:val="single" w:sz="4" w:space="0" w:color="auto"/>
              <w:left w:val="single" w:sz="4" w:space="0" w:color="auto"/>
              <w:bottom w:val="single" w:sz="4" w:space="0" w:color="auto"/>
            </w:tcBorders>
            <w:shd w:val="clear" w:color="000000" w:fill="BCE9FE"/>
            <w:noWrap/>
            <w:vAlign w:val="center"/>
            <w:hideMark/>
          </w:tcPr>
          <w:p w14:paraId="7C064BD0" w14:textId="77777777" w:rsidR="00F05EE3" w:rsidRPr="007800BC" w:rsidRDefault="00F05EE3" w:rsidP="009831E3">
            <w:pP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xml:space="preserve">MU5 - Geake Point to </w:t>
            </w:r>
            <w:r>
              <w:rPr>
                <w:rFonts w:ascii="Arial" w:eastAsia="Times New Roman" w:hAnsi="Arial" w:cs="Arial"/>
                <w:b/>
                <w:bCs/>
                <w:color w:val="000000"/>
                <w:szCs w:val="20"/>
                <w:lang w:val="en-US"/>
              </w:rPr>
              <w:t xml:space="preserve">Point </w:t>
            </w:r>
            <w:r w:rsidRPr="007800BC">
              <w:rPr>
                <w:rFonts w:ascii="Arial" w:eastAsia="Times New Roman" w:hAnsi="Arial" w:cs="Arial"/>
                <w:b/>
                <w:bCs/>
                <w:color w:val="000000"/>
                <w:szCs w:val="20"/>
                <w:lang w:val="en-US"/>
              </w:rPr>
              <w:t xml:space="preserve">Possession </w:t>
            </w:r>
            <w:r>
              <w:rPr>
                <w:rFonts w:ascii="Arial" w:eastAsia="Times New Roman" w:hAnsi="Arial" w:cs="Arial"/>
                <w:b/>
                <w:bCs/>
                <w:color w:val="000000"/>
                <w:szCs w:val="20"/>
                <w:lang w:val="en-US"/>
              </w:rPr>
              <w:t xml:space="preserve">/ Uredale </w:t>
            </w:r>
            <w:r w:rsidRPr="007800BC">
              <w:rPr>
                <w:rFonts w:ascii="Arial" w:eastAsia="Times New Roman" w:hAnsi="Arial" w:cs="Arial"/>
                <w:b/>
                <w:bCs/>
                <w:color w:val="000000"/>
                <w:szCs w:val="20"/>
                <w:lang w:val="en-US"/>
              </w:rPr>
              <w:t xml:space="preserve">Point </w:t>
            </w:r>
          </w:p>
        </w:tc>
        <w:tc>
          <w:tcPr>
            <w:tcW w:w="1134" w:type="dxa"/>
            <w:tcBorders>
              <w:top w:val="single" w:sz="4" w:space="0" w:color="auto"/>
              <w:bottom w:val="single" w:sz="4" w:space="0" w:color="auto"/>
            </w:tcBorders>
            <w:shd w:val="clear" w:color="000000" w:fill="BCE9FE"/>
            <w:noWrap/>
            <w:vAlign w:val="center"/>
            <w:hideMark/>
          </w:tcPr>
          <w:p w14:paraId="189753FD"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134" w:type="dxa"/>
            <w:tcBorders>
              <w:top w:val="single" w:sz="4" w:space="0" w:color="auto"/>
              <w:bottom w:val="single" w:sz="4" w:space="0" w:color="auto"/>
            </w:tcBorders>
            <w:shd w:val="clear" w:color="000000" w:fill="BCE9FE"/>
            <w:noWrap/>
            <w:vAlign w:val="center"/>
            <w:hideMark/>
          </w:tcPr>
          <w:p w14:paraId="007DDA45"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134" w:type="dxa"/>
            <w:tcBorders>
              <w:top w:val="single" w:sz="4" w:space="0" w:color="auto"/>
              <w:bottom w:val="single" w:sz="4" w:space="0" w:color="auto"/>
            </w:tcBorders>
            <w:shd w:val="clear" w:color="000000" w:fill="BCE9FE"/>
            <w:noWrap/>
            <w:vAlign w:val="center"/>
            <w:hideMark/>
          </w:tcPr>
          <w:p w14:paraId="772B35DF"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432" w:type="dxa"/>
            <w:tcBorders>
              <w:top w:val="single" w:sz="4" w:space="0" w:color="auto"/>
              <w:bottom w:val="single" w:sz="4" w:space="0" w:color="auto"/>
            </w:tcBorders>
            <w:shd w:val="clear" w:color="000000" w:fill="BCE9FE"/>
            <w:noWrap/>
            <w:vAlign w:val="center"/>
            <w:hideMark/>
          </w:tcPr>
          <w:p w14:paraId="4FBE9DAE" w14:textId="77777777" w:rsidR="00F05EE3" w:rsidRPr="007800BC" w:rsidRDefault="00F05EE3" w:rsidP="009831E3">
            <w:pPr>
              <w:jc w:val="cente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c>
          <w:tcPr>
            <w:tcW w:w="1397" w:type="dxa"/>
            <w:tcBorders>
              <w:top w:val="single" w:sz="4" w:space="0" w:color="auto"/>
              <w:bottom w:val="single" w:sz="4" w:space="0" w:color="auto"/>
              <w:right w:val="single" w:sz="4" w:space="0" w:color="auto"/>
            </w:tcBorders>
            <w:shd w:val="clear" w:color="000000" w:fill="BCE9FE"/>
            <w:vAlign w:val="center"/>
            <w:hideMark/>
          </w:tcPr>
          <w:p w14:paraId="5EB3F05B" w14:textId="77777777" w:rsidR="00F05EE3" w:rsidRPr="007800BC" w:rsidRDefault="00F05EE3" w:rsidP="009831E3">
            <w:pPr>
              <w:rPr>
                <w:rFonts w:ascii="Arial" w:eastAsia="Times New Roman" w:hAnsi="Arial" w:cs="Arial"/>
                <w:b/>
                <w:bCs/>
                <w:color w:val="000000"/>
                <w:szCs w:val="20"/>
                <w:lang w:val="en-US"/>
              </w:rPr>
            </w:pPr>
            <w:r w:rsidRPr="007800BC">
              <w:rPr>
                <w:rFonts w:ascii="Arial" w:eastAsia="Times New Roman" w:hAnsi="Arial" w:cs="Arial"/>
                <w:b/>
                <w:bCs/>
                <w:color w:val="000000"/>
                <w:szCs w:val="20"/>
                <w:lang w:val="en-US"/>
              </w:rPr>
              <w:t> </w:t>
            </w:r>
          </w:p>
        </w:tc>
      </w:tr>
      <w:tr w:rsidR="00F05EE3" w:rsidRPr="007800BC" w14:paraId="36C441F7" w14:textId="77777777" w:rsidTr="00FF52DF">
        <w:trPr>
          <w:trHeight w:val="331"/>
        </w:trPr>
        <w:tc>
          <w:tcPr>
            <w:tcW w:w="3397" w:type="dxa"/>
            <w:shd w:val="clear" w:color="auto" w:fill="auto"/>
            <w:vAlign w:val="center"/>
            <w:hideMark/>
          </w:tcPr>
          <w:p w14:paraId="2593E664"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Developed Foreshore Reserve</w:t>
            </w:r>
          </w:p>
        </w:tc>
        <w:tc>
          <w:tcPr>
            <w:tcW w:w="1134" w:type="dxa"/>
            <w:shd w:val="clear" w:color="000000" w:fill="D9D9D9"/>
            <w:noWrap/>
            <w:vAlign w:val="center"/>
            <w:hideMark/>
          </w:tcPr>
          <w:p w14:paraId="35FA6272"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619F7A44"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134" w:type="dxa"/>
            <w:shd w:val="clear" w:color="000000" w:fill="D9D9D9"/>
            <w:noWrap/>
            <w:vAlign w:val="center"/>
            <w:hideMark/>
          </w:tcPr>
          <w:p w14:paraId="3E226E27"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432" w:type="dxa"/>
            <w:shd w:val="clear" w:color="000000" w:fill="D9D9D9"/>
            <w:noWrap/>
            <w:vAlign w:val="center"/>
            <w:hideMark/>
          </w:tcPr>
          <w:p w14:paraId="49E893C7" w14:textId="77777777" w:rsidR="00F05EE3" w:rsidRPr="007800BC" w:rsidRDefault="00F05EE3" w:rsidP="009831E3">
            <w:pPr>
              <w:jc w:val="center"/>
              <w:rPr>
                <w:rFonts w:ascii="Arial" w:eastAsia="Times New Roman" w:hAnsi="Arial" w:cs="Arial"/>
                <w:b/>
                <w:bCs/>
                <w:color w:val="FFFF00"/>
                <w:szCs w:val="20"/>
                <w:lang w:val="en-US"/>
              </w:rPr>
            </w:pPr>
            <w:r w:rsidRPr="007800BC">
              <w:rPr>
                <w:rFonts w:ascii="Arial" w:eastAsia="Times New Roman" w:hAnsi="Arial" w:cs="Arial"/>
                <w:b/>
                <w:bCs/>
                <w:color w:val="FFFF00"/>
                <w:szCs w:val="20"/>
                <w:lang w:val="en-US"/>
              </w:rPr>
              <w:t>Medium</w:t>
            </w:r>
          </w:p>
        </w:tc>
        <w:tc>
          <w:tcPr>
            <w:tcW w:w="1397" w:type="dxa"/>
            <w:vMerge w:val="restart"/>
            <w:vAlign w:val="center"/>
            <w:hideMark/>
          </w:tcPr>
          <w:p w14:paraId="7A7A0950" w14:textId="77777777" w:rsidR="00F05EE3" w:rsidRPr="007800BC" w:rsidRDefault="00F05EE3" w:rsidP="009831E3">
            <w:pPr>
              <w:rPr>
                <w:rFonts w:ascii="Arial" w:eastAsia="Times New Roman" w:hAnsi="Arial" w:cs="Arial"/>
                <w:color w:val="000000"/>
                <w:szCs w:val="20"/>
                <w:lang w:val="en-US"/>
              </w:rPr>
            </w:pPr>
          </w:p>
        </w:tc>
      </w:tr>
      <w:tr w:rsidR="00F05EE3" w:rsidRPr="007800BC" w14:paraId="3D52B0E9" w14:textId="77777777" w:rsidTr="00FF52DF">
        <w:trPr>
          <w:trHeight w:val="331"/>
        </w:trPr>
        <w:tc>
          <w:tcPr>
            <w:tcW w:w="3397" w:type="dxa"/>
            <w:shd w:val="clear" w:color="auto" w:fill="auto"/>
            <w:vAlign w:val="center"/>
            <w:hideMark/>
          </w:tcPr>
          <w:p w14:paraId="22237CF8"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Roads</w:t>
            </w:r>
          </w:p>
        </w:tc>
        <w:tc>
          <w:tcPr>
            <w:tcW w:w="1134" w:type="dxa"/>
            <w:shd w:val="clear" w:color="000000" w:fill="D9D9D9"/>
            <w:noWrap/>
            <w:vAlign w:val="center"/>
            <w:hideMark/>
          </w:tcPr>
          <w:p w14:paraId="467E0093"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6AE8D001" w14:textId="77777777" w:rsidR="00F05EE3" w:rsidRPr="007800BC" w:rsidRDefault="00F05EE3" w:rsidP="009831E3">
            <w:pPr>
              <w:jc w:val="center"/>
              <w:rPr>
                <w:rFonts w:ascii="Arial" w:eastAsia="Times New Roman" w:hAnsi="Arial" w:cs="Arial"/>
                <w:b/>
                <w:bCs/>
                <w:color w:val="FFC000"/>
                <w:szCs w:val="20"/>
                <w:lang w:val="en-US"/>
              </w:rPr>
            </w:pPr>
            <w:r w:rsidRPr="007800BC">
              <w:rPr>
                <w:rFonts w:ascii="Arial" w:eastAsia="Times New Roman" w:hAnsi="Arial" w:cs="Arial"/>
                <w:b/>
                <w:bCs/>
                <w:color w:val="FFC000"/>
                <w:szCs w:val="20"/>
                <w:lang w:val="en-US"/>
              </w:rPr>
              <w:t>High</w:t>
            </w:r>
          </w:p>
        </w:tc>
        <w:tc>
          <w:tcPr>
            <w:tcW w:w="1134" w:type="dxa"/>
            <w:shd w:val="clear" w:color="000000" w:fill="D9D9D9"/>
            <w:noWrap/>
            <w:vAlign w:val="center"/>
            <w:hideMark/>
          </w:tcPr>
          <w:p w14:paraId="0080B6F2"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64F709B3"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743C032C" w14:textId="77777777" w:rsidR="00F05EE3" w:rsidRPr="007800BC" w:rsidRDefault="00F05EE3" w:rsidP="009831E3">
            <w:pPr>
              <w:rPr>
                <w:rFonts w:ascii="Arial" w:eastAsia="Times New Roman" w:hAnsi="Arial" w:cs="Arial"/>
                <w:color w:val="000000"/>
                <w:szCs w:val="20"/>
                <w:lang w:val="en-US"/>
              </w:rPr>
            </w:pPr>
          </w:p>
        </w:tc>
      </w:tr>
      <w:tr w:rsidR="00F05EE3" w:rsidRPr="007800BC" w14:paraId="625A65E2" w14:textId="77777777" w:rsidTr="00FF52DF">
        <w:trPr>
          <w:trHeight w:val="331"/>
        </w:trPr>
        <w:tc>
          <w:tcPr>
            <w:tcW w:w="3397" w:type="dxa"/>
            <w:shd w:val="clear" w:color="auto" w:fill="auto"/>
            <w:vAlign w:val="center"/>
            <w:hideMark/>
          </w:tcPr>
          <w:p w14:paraId="2859B349"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Environmental</w:t>
            </w:r>
          </w:p>
        </w:tc>
        <w:tc>
          <w:tcPr>
            <w:tcW w:w="1134" w:type="dxa"/>
            <w:shd w:val="clear" w:color="000000" w:fill="D9D9D9"/>
            <w:noWrap/>
            <w:vAlign w:val="center"/>
            <w:hideMark/>
          </w:tcPr>
          <w:p w14:paraId="143FCCCA"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6EA02FFB"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125D9EC8"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2CA11608"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3AD6ED4D" w14:textId="77777777" w:rsidR="00F05EE3" w:rsidRPr="007800BC" w:rsidRDefault="00F05EE3" w:rsidP="009831E3">
            <w:pPr>
              <w:rPr>
                <w:rFonts w:ascii="Arial" w:eastAsia="Times New Roman" w:hAnsi="Arial" w:cs="Arial"/>
                <w:color w:val="000000"/>
                <w:szCs w:val="20"/>
                <w:lang w:val="en-US"/>
              </w:rPr>
            </w:pPr>
          </w:p>
        </w:tc>
      </w:tr>
      <w:tr w:rsidR="00F05EE3" w:rsidRPr="007800BC" w14:paraId="5723E813" w14:textId="77777777" w:rsidTr="00FF52DF">
        <w:trPr>
          <w:trHeight w:val="331"/>
        </w:trPr>
        <w:tc>
          <w:tcPr>
            <w:tcW w:w="3397" w:type="dxa"/>
            <w:shd w:val="clear" w:color="auto" w:fill="auto"/>
            <w:vAlign w:val="center"/>
            <w:hideMark/>
          </w:tcPr>
          <w:p w14:paraId="410370CF" w14:textId="77777777" w:rsidR="00F05EE3" w:rsidRPr="007800BC" w:rsidRDefault="00F05EE3" w:rsidP="009831E3">
            <w:pPr>
              <w:rPr>
                <w:rFonts w:ascii="Arial" w:eastAsia="Times New Roman" w:hAnsi="Arial" w:cs="Arial"/>
                <w:color w:val="000000"/>
                <w:szCs w:val="20"/>
                <w:lang w:val="en-US"/>
              </w:rPr>
            </w:pPr>
            <w:r w:rsidRPr="007800BC">
              <w:rPr>
                <w:rFonts w:ascii="Arial" w:eastAsia="Times New Roman" w:hAnsi="Arial" w:cs="Arial"/>
                <w:color w:val="000000"/>
                <w:szCs w:val="20"/>
                <w:lang w:val="en-US"/>
              </w:rPr>
              <w:t>Heritage</w:t>
            </w:r>
          </w:p>
        </w:tc>
        <w:tc>
          <w:tcPr>
            <w:tcW w:w="1134" w:type="dxa"/>
            <w:shd w:val="clear" w:color="000000" w:fill="D9D9D9"/>
            <w:noWrap/>
            <w:vAlign w:val="center"/>
            <w:hideMark/>
          </w:tcPr>
          <w:p w14:paraId="3C0B89A5"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21AC4D9E"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134" w:type="dxa"/>
            <w:shd w:val="clear" w:color="000000" w:fill="D9D9D9"/>
            <w:noWrap/>
            <w:vAlign w:val="center"/>
            <w:hideMark/>
          </w:tcPr>
          <w:p w14:paraId="6A2A7598"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432" w:type="dxa"/>
            <w:shd w:val="clear" w:color="000000" w:fill="D9D9D9"/>
            <w:noWrap/>
            <w:vAlign w:val="center"/>
            <w:hideMark/>
          </w:tcPr>
          <w:p w14:paraId="79EE4831" w14:textId="77777777" w:rsidR="00F05EE3" w:rsidRPr="007800BC" w:rsidRDefault="00F05EE3" w:rsidP="009831E3">
            <w:pPr>
              <w:jc w:val="center"/>
              <w:rPr>
                <w:rFonts w:ascii="Arial" w:eastAsia="Times New Roman" w:hAnsi="Arial" w:cs="Arial"/>
                <w:b/>
                <w:bCs/>
                <w:color w:val="FF0000"/>
                <w:szCs w:val="20"/>
                <w:lang w:val="en-US"/>
              </w:rPr>
            </w:pPr>
            <w:r w:rsidRPr="007800BC">
              <w:rPr>
                <w:rFonts w:ascii="Arial" w:eastAsia="Times New Roman" w:hAnsi="Arial" w:cs="Arial"/>
                <w:b/>
                <w:bCs/>
                <w:color w:val="FF0000"/>
                <w:szCs w:val="20"/>
                <w:lang w:val="en-US"/>
              </w:rPr>
              <w:t>Extreme</w:t>
            </w:r>
          </w:p>
        </w:tc>
        <w:tc>
          <w:tcPr>
            <w:tcW w:w="1397" w:type="dxa"/>
            <w:vMerge/>
            <w:vAlign w:val="center"/>
            <w:hideMark/>
          </w:tcPr>
          <w:p w14:paraId="4554894B" w14:textId="77777777" w:rsidR="00F05EE3" w:rsidRPr="007800BC" w:rsidRDefault="00F05EE3" w:rsidP="009831E3">
            <w:pPr>
              <w:rPr>
                <w:rFonts w:ascii="Arial" w:eastAsia="Times New Roman" w:hAnsi="Arial" w:cs="Arial"/>
                <w:color w:val="000000"/>
                <w:szCs w:val="20"/>
                <w:lang w:val="en-US"/>
              </w:rPr>
            </w:pPr>
          </w:p>
        </w:tc>
      </w:tr>
    </w:tbl>
    <w:p w14:paraId="0C818AF3" w14:textId="77777777" w:rsidR="002870C3" w:rsidRDefault="002870C3">
      <w:pPr>
        <w:spacing w:before="80" w:after="80"/>
        <w:rPr>
          <w:b/>
          <w:color w:val="595959" w:themeColor="text1" w:themeTint="A6"/>
          <w:sz w:val="18"/>
        </w:rPr>
      </w:pPr>
      <w:bookmarkStart w:id="160" w:name="_Ref120551005"/>
      <w:bookmarkStart w:id="161" w:name="_Toc127990257"/>
      <w:r>
        <w:br w:type="page"/>
      </w:r>
    </w:p>
    <w:p w14:paraId="178AF4FA" w14:textId="2EC68238" w:rsidR="00F05EE3" w:rsidRDefault="00F05EE3" w:rsidP="00F05EE3">
      <w:pPr>
        <w:pStyle w:val="TableCaption"/>
      </w:pPr>
      <w:bookmarkStart w:id="162" w:name="_Toc164411282"/>
      <w:r>
        <w:lastRenderedPageBreak/>
        <w:t xml:space="preserve">Table </w:t>
      </w:r>
      <w:r w:rsidR="008647EF">
        <w:fldChar w:fldCharType="begin"/>
      </w:r>
      <w:r w:rsidR="008647EF">
        <w:instrText xml:space="preserve"> STYLEREF 1 \s </w:instrText>
      </w:r>
      <w:r w:rsidR="008647EF">
        <w:fldChar w:fldCharType="separate"/>
      </w:r>
      <w:r w:rsidR="008647EF">
        <w:rPr>
          <w:noProof/>
        </w:rPr>
        <w:t>5</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8</w:t>
      </w:r>
      <w:r w:rsidR="008647EF">
        <w:fldChar w:fldCharType="end"/>
      </w:r>
      <w:bookmarkEnd w:id="160"/>
      <w:r>
        <w:t xml:space="preserve"> Vulnerability results for inundation</w:t>
      </w:r>
      <w:bookmarkEnd w:id="161"/>
      <w:r>
        <w:t xml:space="preserve">. Asset categories not </w:t>
      </w:r>
      <w:r w:rsidR="001906FC">
        <w:t>at</w:t>
      </w:r>
      <w:r>
        <w:t xml:space="preserve"> risk are not included.</w:t>
      </w:r>
      <w:bookmarkEnd w:id="1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1052"/>
        <w:gridCol w:w="1053"/>
        <w:gridCol w:w="1014"/>
        <w:gridCol w:w="992"/>
        <w:gridCol w:w="1978"/>
      </w:tblGrid>
      <w:tr w:rsidR="00F05EE3" w:rsidRPr="00F664E3" w14:paraId="4C0CAE67" w14:textId="77777777" w:rsidTr="001906FC">
        <w:trPr>
          <w:trHeight w:val="313"/>
        </w:trPr>
        <w:tc>
          <w:tcPr>
            <w:tcW w:w="3539" w:type="dxa"/>
            <w:vMerge w:val="restart"/>
            <w:shd w:val="clear" w:color="auto" w:fill="0278AD" w:themeFill="accent1"/>
            <w:noWrap/>
            <w:vAlign w:val="center"/>
            <w:hideMark/>
          </w:tcPr>
          <w:p w14:paraId="48E4C6A7" w14:textId="77777777" w:rsidR="00F05EE3" w:rsidRPr="00F664E3" w:rsidRDefault="00F05EE3" w:rsidP="009831E3">
            <w:pPr>
              <w:jc w:val="center"/>
              <w:rPr>
                <w:rFonts w:ascii="Arial" w:eastAsia="Times New Roman" w:hAnsi="Arial" w:cs="Arial"/>
                <w:b/>
                <w:bCs/>
                <w:color w:val="FFFFFF"/>
                <w:szCs w:val="20"/>
                <w:lang w:val="en-US"/>
              </w:rPr>
            </w:pPr>
            <w:r w:rsidRPr="00F664E3">
              <w:rPr>
                <w:rFonts w:ascii="Arial" w:eastAsia="Times New Roman" w:hAnsi="Arial" w:cs="Arial"/>
                <w:b/>
                <w:bCs/>
                <w:color w:val="FFFFFF"/>
                <w:szCs w:val="20"/>
                <w:lang w:val="en-US"/>
              </w:rPr>
              <w:t>Management Unit</w:t>
            </w:r>
          </w:p>
        </w:tc>
        <w:tc>
          <w:tcPr>
            <w:tcW w:w="4111" w:type="dxa"/>
            <w:gridSpan w:val="4"/>
            <w:shd w:val="clear" w:color="auto" w:fill="0278AD" w:themeFill="accent1"/>
            <w:vAlign w:val="center"/>
            <w:hideMark/>
          </w:tcPr>
          <w:p w14:paraId="0BA5D87A" w14:textId="77777777" w:rsidR="00F05EE3" w:rsidRPr="00F664E3" w:rsidRDefault="00F05EE3" w:rsidP="009831E3">
            <w:pPr>
              <w:jc w:val="center"/>
              <w:rPr>
                <w:rFonts w:ascii="Arial" w:eastAsia="Times New Roman" w:hAnsi="Arial" w:cs="Arial"/>
                <w:b/>
                <w:bCs/>
                <w:color w:val="FFFFFF"/>
                <w:szCs w:val="20"/>
                <w:lang w:val="en-US"/>
              </w:rPr>
            </w:pPr>
            <w:r w:rsidRPr="00F664E3">
              <w:rPr>
                <w:rFonts w:ascii="Arial" w:eastAsia="Times New Roman" w:hAnsi="Arial" w:cs="Arial"/>
                <w:b/>
                <w:bCs/>
                <w:color w:val="FFFFFF"/>
                <w:szCs w:val="20"/>
                <w:lang w:val="en-US"/>
              </w:rPr>
              <w:t>Vulnerability</w:t>
            </w:r>
          </w:p>
        </w:tc>
        <w:tc>
          <w:tcPr>
            <w:tcW w:w="1978" w:type="dxa"/>
            <w:vMerge w:val="restart"/>
            <w:shd w:val="clear" w:color="auto" w:fill="0278AD" w:themeFill="accent1"/>
            <w:vAlign w:val="center"/>
            <w:hideMark/>
          </w:tcPr>
          <w:p w14:paraId="746E71B2" w14:textId="77777777" w:rsidR="00F05EE3" w:rsidRPr="00F664E3" w:rsidRDefault="00F05EE3" w:rsidP="009831E3">
            <w:pPr>
              <w:jc w:val="center"/>
              <w:rPr>
                <w:rFonts w:ascii="Arial" w:eastAsia="Times New Roman" w:hAnsi="Arial" w:cs="Arial"/>
                <w:b/>
                <w:bCs/>
                <w:color w:val="FFFFFF"/>
                <w:szCs w:val="20"/>
                <w:lang w:val="en-US"/>
              </w:rPr>
            </w:pPr>
            <w:r w:rsidRPr="00F664E3">
              <w:rPr>
                <w:rFonts w:ascii="Arial" w:eastAsia="Times New Roman" w:hAnsi="Arial" w:cs="Arial"/>
                <w:b/>
                <w:bCs/>
                <w:color w:val="FFFFFF"/>
                <w:szCs w:val="20"/>
                <w:lang w:val="en-US"/>
              </w:rPr>
              <w:t>Summary</w:t>
            </w:r>
          </w:p>
        </w:tc>
      </w:tr>
      <w:tr w:rsidR="00F05EE3" w:rsidRPr="00F664E3" w14:paraId="1B2215B2" w14:textId="77777777" w:rsidTr="001906FC">
        <w:trPr>
          <w:trHeight w:val="313"/>
        </w:trPr>
        <w:tc>
          <w:tcPr>
            <w:tcW w:w="3539" w:type="dxa"/>
            <w:vMerge/>
            <w:vAlign w:val="center"/>
            <w:hideMark/>
          </w:tcPr>
          <w:p w14:paraId="1D8B7F42" w14:textId="77777777" w:rsidR="00F05EE3" w:rsidRPr="00F664E3" w:rsidRDefault="00F05EE3" w:rsidP="009831E3">
            <w:pPr>
              <w:rPr>
                <w:rFonts w:ascii="Arial" w:eastAsia="Times New Roman" w:hAnsi="Arial" w:cs="Arial"/>
                <w:b/>
                <w:bCs/>
                <w:color w:val="FFFFFF"/>
                <w:szCs w:val="20"/>
                <w:lang w:val="en-US"/>
              </w:rPr>
            </w:pPr>
          </w:p>
        </w:tc>
        <w:tc>
          <w:tcPr>
            <w:tcW w:w="1052" w:type="dxa"/>
            <w:shd w:val="clear" w:color="auto" w:fill="0278AD" w:themeFill="accent1"/>
            <w:vAlign w:val="center"/>
            <w:hideMark/>
          </w:tcPr>
          <w:p w14:paraId="0B9DD8A7" w14:textId="77777777" w:rsidR="00F05EE3" w:rsidRPr="00F664E3" w:rsidRDefault="00F05EE3" w:rsidP="009831E3">
            <w:pPr>
              <w:jc w:val="center"/>
              <w:rPr>
                <w:rFonts w:ascii="Arial" w:eastAsia="Times New Roman" w:hAnsi="Arial" w:cs="Arial"/>
                <w:b/>
                <w:bCs/>
                <w:color w:val="FFFFFF"/>
                <w:szCs w:val="20"/>
                <w:lang w:val="en-US"/>
              </w:rPr>
            </w:pPr>
            <w:r>
              <w:rPr>
                <w:rFonts w:ascii="Arial" w:eastAsia="Times New Roman" w:hAnsi="Arial" w:cs="Arial"/>
                <w:b/>
                <w:bCs/>
                <w:color w:val="FFFFFF"/>
                <w:szCs w:val="20"/>
                <w:lang w:val="en-US"/>
              </w:rPr>
              <w:t>P</w:t>
            </w:r>
            <w:r w:rsidRPr="00F664E3">
              <w:rPr>
                <w:rFonts w:ascii="Arial" w:eastAsia="Times New Roman" w:hAnsi="Arial" w:cs="Arial"/>
                <w:b/>
                <w:bCs/>
                <w:color w:val="FFFFFF"/>
                <w:szCs w:val="20"/>
                <w:lang w:val="en-US"/>
              </w:rPr>
              <w:t>resent</w:t>
            </w:r>
          </w:p>
        </w:tc>
        <w:tc>
          <w:tcPr>
            <w:tcW w:w="1053" w:type="dxa"/>
            <w:shd w:val="clear" w:color="auto" w:fill="0278AD" w:themeFill="accent1"/>
            <w:vAlign w:val="center"/>
            <w:hideMark/>
          </w:tcPr>
          <w:p w14:paraId="418D31B2" w14:textId="77777777" w:rsidR="00F05EE3" w:rsidRPr="00F664E3" w:rsidRDefault="00F05EE3" w:rsidP="009831E3">
            <w:pPr>
              <w:jc w:val="center"/>
              <w:rPr>
                <w:rFonts w:ascii="Arial" w:eastAsia="Times New Roman" w:hAnsi="Arial" w:cs="Arial"/>
                <w:b/>
                <w:bCs/>
                <w:color w:val="FFFFFF"/>
                <w:szCs w:val="20"/>
                <w:lang w:val="en-US"/>
              </w:rPr>
            </w:pPr>
            <w:r>
              <w:rPr>
                <w:rFonts w:ascii="Arial" w:eastAsia="Times New Roman" w:hAnsi="Arial" w:cs="Arial"/>
                <w:b/>
                <w:bCs/>
                <w:color w:val="FFFFFF"/>
                <w:szCs w:val="20"/>
                <w:lang w:val="en-US"/>
              </w:rPr>
              <w:t>2047</w:t>
            </w:r>
          </w:p>
        </w:tc>
        <w:tc>
          <w:tcPr>
            <w:tcW w:w="1014" w:type="dxa"/>
            <w:shd w:val="clear" w:color="auto" w:fill="0278AD" w:themeFill="accent1"/>
            <w:vAlign w:val="center"/>
            <w:hideMark/>
          </w:tcPr>
          <w:p w14:paraId="60B847E3" w14:textId="77777777" w:rsidR="00F05EE3" w:rsidRPr="00F664E3" w:rsidRDefault="00F05EE3" w:rsidP="009831E3">
            <w:pPr>
              <w:jc w:val="center"/>
              <w:rPr>
                <w:rFonts w:ascii="Arial" w:eastAsia="Times New Roman" w:hAnsi="Arial" w:cs="Arial"/>
                <w:b/>
                <w:bCs/>
                <w:color w:val="FFFFFF"/>
                <w:szCs w:val="20"/>
                <w:lang w:val="en-US"/>
              </w:rPr>
            </w:pPr>
            <w:r>
              <w:rPr>
                <w:rFonts w:ascii="Arial" w:eastAsia="Times New Roman" w:hAnsi="Arial" w:cs="Arial"/>
                <w:b/>
                <w:bCs/>
                <w:color w:val="FFFFFF"/>
                <w:szCs w:val="20"/>
                <w:lang w:val="en-US"/>
              </w:rPr>
              <w:t>2072</w:t>
            </w:r>
          </w:p>
        </w:tc>
        <w:tc>
          <w:tcPr>
            <w:tcW w:w="992" w:type="dxa"/>
            <w:shd w:val="clear" w:color="auto" w:fill="0278AD" w:themeFill="accent1"/>
            <w:vAlign w:val="center"/>
            <w:hideMark/>
          </w:tcPr>
          <w:p w14:paraId="18AAC195" w14:textId="77777777" w:rsidR="00F05EE3" w:rsidRPr="00F664E3" w:rsidRDefault="00F05EE3" w:rsidP="009831E3">
            <w:pPr>
              <w:jc w:val="center"/>
              <w:rPr>
                <w:rFonts w:ascii="Arial" w:eastAsia="Times New Roman" w:hAnsi="Arial" w:cs="Arial"/>
                <w:b/>
                <w:bCs/>
                <w:color w:val="FFFFFF"/>
                <w:szCs w:val="20"/>
                <w:lang w:val="en-US"/>
              </w:rPr>
            </w:pPr>
            <w:r w:rsidRPr="00F664E3">
              <w:rPr>
                <w:rFonts w:ascii="Arial" w:eastAsia="Times New Roman" w:hAnsi="Arial" w:cs="Arial"/>
                <w:b/>
                <w:bCs/>
                <w:color w:val="FFFFFF"/>
                <w:szCs w:val="20"/>
                <w:lang w:val="en-US"/>
              </w:rPr>
              <w:t>2122</w:t>
            </w:r>
          </w:p>
        </w:tc>
        <w:tc>
          <w:tcPr>
            <w:tcW w:w="1978" w:type="dxa"/>
            <w:vMerge/>
            <w:vAlign w:val="center"/>
            <w:hideMark/>
          </w:tcPr>
          <w:p w14:paraId="69D13D1B" w14:textId="77777777" w:rsidR="00F05EE3" w:rsidRPr="00F664E3" w:rsidRDefault="00F05EE3" w:rsidP="009831E3">
            <w:pPr>
              <w:rPr>
                <w:rFonts w:ascii="Arial" w:eastAsia="Times New Roman" w:hAnsi="Arial" w:cs="Arial"/>
                <w:b/>
                <w:bCs/>
                <w:color w:val="FFFFFF"/>
                <w:szCs w:val="20"/>
                <w:lang w:val="en-US"/>
              </w:rPr>
            </w:pPr>
          </w:p>
        </w:tc>
      </w:tr>
      <w:tr w:rsidR="00F05EE3" w:rsidRPr="00F664E3" w14:paraId="159ABA34" w14:textId="77777777" w:rsidTr="001906FC">
        <w:trPr>
          <w:trHeight w:val="313"/>
        </w:trPr>
        <w:tc>
          <w:tcPr>
            <w:tcW w:w="3539" w:type="dxa"/>
            <w:shd w:val="clear" w:color="auto" w:fill="BCE9FE" w:themeFill="accent1" w:themeFillTint="33"/>
            <w:noWrap/>
            <w:vAlign w:val="center"/>
            <w:hideMark/>
          </w:tcPr>
          <w:p w14:paraId="05A6FBD3" w14:textId="77777777" w:rsidR="00F05EE3" w:rsidRPr="00F664E3" w:rsidRDefault="00F05EE3" w:rsidP="009831E3">
            <w:pP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MU1-Point King to Melville point</w:t>
            </w:r>
          </w:p>
        </w:tc>
        <w:tc>
          <w:tcPr>
            <w:tcW w:w="1052" w:type="dxa"/>
            <w:shd w:val="clear" w:color="auto" w:fill="BCE9FE" w:themeFill="accent1" w:themeFillTint="33"/>
            <w:noWrap/>
            <w:vAlign w:val="center"/>
            <w:hideMark/>
          </w:tcPr>
          <w:p w14:paraId="72177CEE"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053" w:type="dxa"/>
            <w:shd w:val="clear" w:color="auto" w:fill="BCE9FE" w:themeFill="accent1" w:themeFillTint="33"/>
            <w:noWrap/>
            <w:vAlign w:val="center"/>
            <w:hideMark/>
          </w:tcPr>
          <w:p w14:paraId="0A20A7E8"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014" w:type="dxa"/>
            <w:shd w:val="clear" w:color="auto" w:fill="BCE9FE" w:themeFill="accent1" w:themeFillTint="33"/>
            <w:noWrap/>
            <w:vAlign w:val="center"/>
            <w:hideMark/>
          </w:tcPr>
          <w:p w14:paraId="21D6230F"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992" w:type="dxa"/>
            <w:shd w:val="clear" w:color="auto" w:fill="BCE9FE" w:themeFill="accent1" w:themeFillTint="33"/>
            <w:noWrap/>
            <w:vAlign w:val="center"/>
            <w:hideMark/>
          </w:tcPr>
          <w:p w14:paraId="2F0BBDA2"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978" w:type="dxa"/>
            <w:shd w:val="clear" w:color="auto" w:fill="BCE9FE" w:themeFill="accent1" w:themeFillTint="33"/>
            <w:vAlign w:val="center"/>
            <w:hideMark/>
          </w:tcPr>
          <w:p w14:paraId="7076B8C1" w14:textId="77777777" w:rsidR="00F05EE3" w:rsidRPr="00F664E3" w:rsidRDefault="00F05EE3" w:rsidP="009831E3">
            <w:pP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r>
      <w:tr w:rsidR="00F05EE3" w:rsidRPr="00F664E3" w14:paraId="7F01155E" w14:textId="77777777" w:rsidTr="001906FC">
        <w:trPr>
          <w:trHeight w:val="313"/>
        </w:trPr>
        <w:tc>
          <w:tcPr>
            <w:tcW w:w="3539" w:type="dxa"/>
            <w:shd w:val="clear" w:color="auto" w:fill="auto"/>
            <w:vAlign w:val="center"/>
            <w:hideMark/>
          </w:tcPr>
          <w:p w14:paraId="6BE61A8E"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Residential</w:t>
            </w:r>
          </w:p>
        </w:tc>
        <w:tc>
          <w:tcPr>
            <w:tcW w:w="1052" w:type="dxa"/>
            <w:shd w:val="clear" w:color="auto" w:fill="D9D9D9" w:themeFill="background1" w:themeFillShade="D9"/>
            <w:noWrap/>
            <w:vAlign w:val="center"/>
            <w:hideMark/>
          </w:tcPr>
          <w:p w14:paraId="7595A63B"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09170DF6"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547F58D4"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347F9B47"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restart"/>
            <w:shd w:val="clear" w:color="auto" w:fill="auto"/>
            <w:vAlign w:val="center"/>
            <w:hideMark/>
          </w:tcPr>
          <w:p w14:paraId="1E74B99A"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The Port of Albany, Albany Waterfront Marina and carpark, Anzac Park are affected in this MU.</w:t>
            </w:r>
          </w:p>
        </w:tc>
      </w:tr>
      <w:tr w:rsidR="00F05EE3" w:rsidRPr="00F664E3" w14:paraId="6EFAD274" w14:textId="77777777" w:rsidTr="001906FC">
        <w:trPr>
          <w:trHeight w:val="313"/>
        </w:trPr>
        <w:tc>
          <w:tcPr>
            <w:tcW w:w="3539" w:type="dxa"/>
            <w:shd w:val="clear" w:color="auto" w:fill="auto"/>
            <w:vAlign w:val="center"/>
            <w:hideMark/>
          </w:tcPr>
          <w:p w14:paraId="679DC1D7"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Commercial</w:t>
            </w:r>
          </w:p>
        </w:tc>
        <w:tc>
          <w:tcPr>
            <w:tcW w:w="1052" w:type="dxa"/>
            <w:shd w:val="clear" w:color="auto" w:fill="D9D9D9" w:themeFill="background1" w:themeFillShade="D9"/>
            <w:noWrap/>
            <w:vAlign w:val="center"/>
            <w:hideMark/>
          </w:tcPr>
          <w:p w14:paraId="2A223757"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7DB1BD19"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26B066A3"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585E4D1C" w14:textId="77777777" w:rsidR="00F05EE3" w:rsidRPr="00F664E3" w:rsidRDefault="00F05EE3" w:rsidP="009831E3">
            <w:pPr>
              <w:jc w:val="center"/>
              <w:rPr>
                <w:rFonts w:ascii="Arial" w:eastAsia="Times New Roman" w:hAnsi="Arial" w:cs="Arial"/>
                <w:b/>
                <w:bCs/>
                <w:color w:val="FFC000"/>
                <w:szCs w:val="20"/>
                <w:lang w:val="en-US"/>
              </w:rPr>
            </w:pPr>
            <w:r w:rsidRPr="00F664E3">
              <w:rPr>
                <w:rFonts w:ascii="Arial" w:eastAsia="Times New Roman" w:hAnsi="Arial" w:cs="Arial"/>
                <w:b/>
                <w:bCs/>
                <w:color w:val="FFC000"/>
                <w:szCs w:val="20"/>
                <w:lang w:val="en-US"/>
              </w:rPr>
              <w:t>High</w:t>
            </w:r>
          </w:p>
        </w:tc>
        <w:tc>
          <w:tcPr>
            <w:tcW w:w="1978" w:type="dxa"/>
            <w:vMerge/>
            <w:vAlign w:val="center"/>
            <w:hideMark/>
          </w:tcPr>
          <w:p w14:paraId="34C11978" w14:textId="77777777" w:rsidR="00F05EE3" w:rsidRPr="00F664E3" w:rsidRDefault="00F05EE3" w:rsidP="009831E3">
            <w:pPr>
              <w:rPr>
                <w:rFonts w:ascii="Arial" w:eastAsia="Times New Roman" w:hAnsi="Arial" w:cs="Arial"/>
                <w:color w:val="000000"/>
                <w:szCs w:val="20"/>
                <w:lang w:val="en-US"/>
              </w:rPr>
            </w:pPr>
          </w:p>
        </w:tc>
      </w:tr>
      <w:tr w:rsidR="00F05EE3" w:rsidRPr="00F664E3" w14:paraId="252AA86A" w14:textId="77777777" w:rsidTr="001906FC">
        <w:trPr>
          <w:trHeight w:val="286"/>
        </w:trPr>
        <w:tc>
          <w:tcPr>
            <w:tcW w:w="3539" w:type="dxa"/>
            <w:shd w:val="clear" w:color="auto" w:fill="auto"/>
            <w:vAlign w:val="center"/>
            <w:hideMark/>
          </w:tcPr>
          <w:p w14:paraId="27689F62"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Developed Foreshore Reserve</w:t>
            </w:r>
          </w:p>
        </w:tc>
        <w:tc>
          <w:tcPr>
            <w:tcW w:w="1052" w:type="dxa"/>
            <w:shd w:val="clear" w:color="auto" w:fill="D9D9D9" w:themeFill="background1" w:themeFillShade="D9"/>
            <w:noWrap/>
            <w:vAlign w:val="center"/>
            <w:hideMark/>
          </w:tcPr>
          <w:p w14:paraId="73B73429" w14:textId="77777777" w:rsidR="00F05EE3" w:rsidRPr="00F664E3" w:rsidRDefault="00F05EE3" w:rsidP="009831E3">
            <w:pPr>
              <w:jc w:val="center"/>
              <w:rPr>
                <w:rFonts w:ascii="Arial" w:eastAsia="Times New Roman" w:hAnsi="Arial" w:cs="Arial"/>
                <w:b/>
                <w:bCs/>
                <w:color w:val="00B050"/>
                <w:szCs w:val="20"/>
                <w:lang w:val="en-US"/>
              </w:rPr>
            </w:pPr>
            <w:r w:rsidRPr="00F664E3">
              <w:rPr>
                <w:rFonts w:ascii="Arial" w:eastAsia="Times New Roman" w:hAnsi="Arial" w:cs="Arial"/>
                <w:b/>
                <w:bCs/>
                <w:color w:val="00B050"/>
                <w:szCs w:val="20"/>
                <w:lang w:val="en-US"/>
              </w:rPr>
              <w:t>Low</w:t>
            </w:r>
          </w:p>
        </w:tc>
        <w:tc>
          <w:tcPr>
            <w:tcW w:w="1053" w:type="dxa"/>
            <w:shd w:val="clear" w:color="auto" w:fill="D9D9D9" w:themeFill="background1" w:themeFillShade="D9"/>
            <w:noWrap/>
            <w:vAlign w:val="center"/>
            <w:hideMark/>
          </w:tcPr>
          <w:p w14:paraId="565906A0"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305FFA2C"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6D0D3FDA"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30576E2E" w14:textId="77777777" w:rsidR="00F05EE3" w:rsidRPr="00F664E3" w:rsidRDefault="00F05EE3" w:rsidP="009831E3">
            <w:pPr>
              <w:rPr>
                <w:rFonts w:ascii="Arial" w:eastAsia="Times New Roman" w:hAnsi="Arial" w:cs="Arial"/>
                <w:color w:val="000000"/>
                <w:szCs w:val="20"/>
                <w:lang w:val="en-US"/>
              </w:rPr>
            </w:pPr>
          </w:p>
        </w:tc>
      </w:tr>
      <w:tr w:rsidR="00F05EE3" w:rsidRPr="00F664E3" w14:paraId="765DE9CC" w14:textId="77777777" w:rsidTr="001906FC">
        <w:trPr>
          <w:trHeight w:val="307"/>
        </w:trPr>
        <w:tc>
          <w:tcPr>
            <w:tcW w:w="3539" w:type="dxa"/>
            <w:shd w:val="clear" w:color="auto" w:fill="auto"/>
            <w:vAlign w:val="center"/>
            <w:hideMark/>
          </w:tcPr>
          <w:p w14:paraId="708BABD8"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Public &amp; Community</w:t>
            </w:r>
          </w:p>
        </w:tc>
        <w:tc>
          <w:tcPr>
            <w:tcW w:w="1052" w:type="dxa"/>
            <w:shd w:val="clear" w:color="auto" w:fill="D9D9D9" w:themeFill="background1" w:themeFillShade="D9"/>
            <w:noWrap/>
            <w:vAlign w:val="center"/>
            <w:hideMark/>
          </w:tcPr>
          <w:p w14:paraId="394C664B"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42FD2995"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053106E9"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44E2BA96"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491CF132" w14:textId="77777777" w:rsidR="00F05EE3" w:rsidRPr="00F664E3" w:rsidRDefault="00F05EE3" w:rsidP="009831E3">
            <w:pPr>
              <w:rPr>
                <w:rFonts w:ascii="Arial" w:eastAsia="Times New Roman" w:hAnsi="Arial" w:cs="Arial"/>
                <w:color w:val="000000"/>
                <w:szCs w:val="20"/>
                <w:lang w:val="en-US"/>
              </w:rPr>
            </w:pPr>
          </w:p>
        </w:tc>
      </w:tr>
      <w:tr w:rsidR="00F05EE3" w:rsidRPr="00F664E3" w14:paraId="07870675" w14:textId="77777777" w:rsidTr="001906FC">
        <w:trPr>
          <w:trHeight w:val="313"/>
        </w:trPr>
        <w:tc>
          <w:tcPr>
            <w:tcW w:w="3539" w:type="dxa"/>
            <w:shd w:val="clear" w:color="auto" w:fill="auto"/>
            <w:vAlign w:val="center"/>
            <w:hideMark/>
          </w:tcPr>
          <w:p w14:paraId="0BDF20C3"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Roads</w:t>
            </w:r>
          </w:p>
        </w:tc>
        <w:tc>
          <w:tcPr>
            <w:tcW w:w="1052" w:type="dxa"/>
            <w:shd w:val="clear" w:color="auto" w:fill="D9D9D9" w:themeFill="background1" w:themeFillShade="D9"/>
            <w:noWrap/>
            <w:vAlign w:val="center"/>
            <w:hideMark/>
          </w:tcPr>
          <w:p w14:paraId="09F890D1"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1FD84957"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478256E9"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6E4D0D58"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1D05EDF8" w14:textId="77777777" w:rsidR="00F05EE3" w:rsidRPr="00F664E3" w:rsidRDefault="00F05EE3" w:rsidP="009831E3">
            <w:pPr>
              <w:rPr>
                <w:rFonts w:ascii="Arial" w:eastAsia="Times New Roman" w:hAnsi="Arial" w:cs="Arial"/>
                <w:color w:val="000000"/>
                <w:szCs w:val="20"/>
                <w:lang w:val="en-US"/>
              </w:rPr>
            </w:pPr>
          </w:p>
        </w:tc>
      </w:tr>
      <w:tr w:rsidR="00F05EE3" w:rsidRPr="00F664E3" w14:paraId="7214A914" w14:textId="77777777" w:rsidTr="001906FC">
        <w:trPr>
          <w:trHeight w:val="313"/>
        </w:trPr>
        <w:tc>
          <w:tcPr>
            <w:tcW w:w="3539" w:type="dxa"/>
            <w:shd w:val="clear" w:color="auto" w:fill="auto"/>
            <w:vAlign w:val="center"/>
            <w:hideMark/>
          </w:tcPr>
          <w:p w14:paraId="620F754B"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Environmental</w:t>
            </w:r>
          </w:p>
        </w:tc>
        <w:tc>
          <w:tcPr>
            <w:tcW w:w="1052" w:type="dxa"/>
            <w:shd w:val="clear" w:color="auto" w:fill="D9D9D9" w:themeFill="background1" w:themeFillShade="D9"/>
            <w:noWrap/>
            <w:vAlign w:val="center"/>
            <w:hideMark/>
          </w:tcPr>
          <w:p w14:paraId="0613A055" w14:textId="77777777" w:rsidR="00F05EE3" w:rsidRPr="00F664E3" w:rsidRDefault="00F05EE3" w:rsidP="009831E3">
            <w:pPr>
              <w:jc w:val="center"/>
              <w:rPr>
                <w:rFonts w:ascii="Arial" w:eastAsia="Times New Roman" w:hAnsi="Arial" w:cs="Arial"/>
                <w:b/>
                <w:bCs/>
                <w:color w:val="00B050"/>
                <w:szCs w:val="20"/>
                <w:lang w:val="en-US"/>
              </w:rPr>
            </w:pPr>
            <w:r w:rsidRPr="00F664E3">
              <w:rPr>
                <w:rFonts w:ascii="Arial" w:eastAsia="Times New Roman" w:hAnsi="Arial" w:cs="Arial"/>
                <w:b/>
                <w:bCs/>
                <w:color w:val="00B050"/>
                <w:szCs w:val="20"/>
                <w:lang w:val="en-US"/>
              </w:rPr>
              <w:t>Low</w:t>
            </w:r>
          </w:p>
        </w:tc>
        <w:tc>
          <w:tcPr>
            <w:tcW w:w="1053" w:type="dxa"/>
            <w:shd w:val="clear" w:color="auto" w:fill="D9D9D9" w:themeFill="background1" w:themeFillShade="D9"/>
            <w:noWrap/>
            <w:vAlign w:val="center"/>
            <w:hideMark/>
          </w:tcPr>
          <w:p w14:paraId="39FA8770"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5B2AB41E"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104CDA56"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6F60DD3F" w14:textId="77777777" w:rsidR="00F05EE3" w:rsidRPr="00F664E3" w:rsidRDefault="00F05EE3" w:rsidP="009831E3">
            <w:pPr>
              <w:rPr>
                <w:rFonts w:ascii="Arial" w:eastAsia="Times New Roman" w:hAnsi="Arial" w:cs="Arial"/>
                <w:color w:val="000000"/>
                <w:szCs w:val="20"/>
                <w:lang w:val="en-US"/>
              </w:rPr>
            </w:pPr>
          </w:p>
        </w:tc>
      </w:tr>
      <w:tr w:rsidR="00F05EE3" w:rsidRPr="00F664E3" w14:paraId="0F1077A8" w14:textId="77777777" w:rsidTr="001906FC">
        <w:trPr>
          <w:trHeight w:val="313"/>
        </w:trPr>
        <w:tc>
          <w:tcPr>
            <w:tcW w:w="3539" w:type="dxa"/>
            <w:shd w:val="clear" w:color="auto" w:fill="auto"/>
            <w:vAlign w:val="center"/>
            <w:hideMark/>
          </w:tcPr>
          <w:p w14:paraId="1DA75363"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Heritage</w:t>
            </w:r>
          </w:p>
        </w:tc>
        <w:tc>
          <w:tcPr>
            <w:tcW w:w="1052" w:type="dxa"/>
            <w:shd w:val="clear" w:color="auto" w:fill="D9D9D9" w:themeFill="background1" w:themeFillShade="D9"/>
            <w:noWrap/>
            <w:vAlign w:val="center"/>
            <w:hideMark/>
          </w:tcPr>
          <w:p w14:paraId="3736BED4"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4A4397E4"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1E26ED9B"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56761CBD"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0C3958CD" w14:textId="77777777" w:rsidR="00F05EE3" w:rsidRPr="00F664E3" w:rsidRDefault="00F05EE3" w:rsidP="009831E3">
            <w:pPr>
              <w:rPr>
                <w:rFonts w:ascii="Arial" w:eastAsia="Times New Roman" w:hAnsi="Arial" w:cs="Arial"/>
                <w:color w:val="000000"/>
                <w:szCs w:val="20"/>
                <w:lang w:val="en-US"/>
              </w:rPr>
            </w:pPr>
          </w:p>
        </w:tc>
      </w:tr>
      <w:tr w:rsidR="00F05EE3" w:rsidRPr="00F664E3" w14:paraId="26BB041E" w14:textId="77777777" w:rsidTr="001906FC">
        <w:trPr>
          <w:trHeight w:val="313"/>
        </w:trPr>
        <w:tc>
          <w:tcPr>
            <w:tcW w:w="3539" w:type="dxa"/>
            <w:shd w:val="clear" w:color="auto" w:fill="BCE9FE" w:themeFill="accent1" w:themeFillTint="33"/>
            <w:noWrap/>
            <w:vAlign w:val="center"/>
            <w:hideMark/>
          </w:tcPr>
          <w:p w14:paraId="05CB30F1" w14:textId="77777777" w:rsidR="00F05EE3" w:rsidRPr="00F664E3" w:rsidRDefault="00F05EE3" w:rsidP="009831E3">
            <w:pP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MU2 - Melville Point to Rushy Point</w:t>
            </w:r>
          </w:p>
        </w:tc>
        <w:tc>
          <w:tcPr>
            <w:tcW w:w="1052" w:type="dxa"/>
            <w:shd w:val="clear" w:color="auto" w:fill="BCE9FE" w:themeFill="accent1" w:themeFillTint="33"/>
            <w:noWrap/>
            <w:vAlign w:val="center"/>
            <w:hideMark/>
          </w:tcPr>
          <w:p w14:paraId="5F2136E9"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053" w:type="dxa"/>
            <w:shd w:val="clear" w:color="auto" w:fill="BCE9FE" w:themeFill="accent1" w:themeFillTint="33"/>
            <w:noWrap/>
            <w:vAlign w:val="center"/>
            <w:hideMark/>
          </w:tcPr>
          <w:p w14:paraId="18446CAD"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014" w:type="dxa"/>
            <w:shd w:val="clear" w:color="auto" w:fill="BCE9FE" w:themeFill="accent1" w:themeFillTint="33"/>
            <w:noWrap/>
            <w:vAlign w:val="center"/>
            <w:hideMark/>
          </w:tcPr>
          <w:p w14:paraId="1409EF22"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992" w:type="dxa"/>
            <w:shd w:val="clear" w:color="auto" w:fill="BCE9FE" w:themeFill="accent1" w:themeFillTint="33"/>
            <w:noWrap/>
            <w:vAlign w:val="center"/>
            <w:hideMark/>
          </w:tcPr>
          <w:p w14:paraId="5C27AD5D"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978" w:type="dxa"/>
            <w:shd w:val="clear" w:color="auto" w:fill="BCE9FE" w:themeFill="accent1" w:themeFillTint="33"/>
            <w:vAlign w:val="center"/>
            <w:hideMark/>
          </w:tcPr>
          <w:p w14:paraId="7932A398" w14:textId="77777777" w:rsidR="00F05EE3" w:rsidRPr="00F664E3" w:rsidRDefault="00F05EE3" w:rsidP="009831E3">
            <w:pP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r>
      <w:tr w:rsidR="00F05EE3" w:rsidRPr="00F664E3" w14:paraId="12147585" w14:textId="77777777" w:rsidTr="001906FC">
        <w:trPr>
          <w:trHeight w:val="313"/>
        </w:trPr>
        <w:tc>
          <w:tcPr>
            <w:tcW w:w="3539" w:type="dxa"/>
            <w:shd w:val="clear" w:color="auto" w:fill="auto"/>
            <w:vAlign w:val="center"/>
            <w:hideMark/>
          </w:tcPr>
          <w:p w14:paraId="6F99BD26"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Residential</w:t>
            </w:r>
          </w:p>
        </w:tc>
        <w:tc>
          <w:tcPr>
            <w:tcW w:w="1052" w:type="dxa"/>
            <w:shd w:val="clear" w:color="auto" w:fill="D9D9D9" w:themeFill="background1" w:themeFillShade="D9"/>
            <w:noWrap/>
            <w:vAlign w:val="center"/>
            <w:hideMark/>
          </w:tcPr>
          <w:p w14:paraId="77FA5B3B"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5A8ACD29"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19ED78EF"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464536E6" w14:textId="77777777" w:rsidR="00F05EE3" w:rsidRPr="00F664E3" w:rsidRDefault="00F05EE3" w:rsidP="009831E3">
            <w:pPr>
              <w:jc w:val="center"/>
              <w:rPr>
                <w:rFonts w:ascii="Arial" w:eastAsia="Times New Roman" w:hAnsi="Arial" w:cs="Arial"/>
                <w:b/>
                <w:bCs/>
                <w:color w:val="FFC000"/>
                <w:szCs w:val="20"/>
                <w:lang w:val="en-US"/>
              </w:rPr>
            </w:pPr>
            <w:r w:rsidRPr="00F664E3">
              <w:rPr>
                <w:rFonts w:ascii="Arial" w:eastAsia="Times New Roman" w:hAnsi="Arial" w:cs="Arial"/>
                <w:b/>
                <w:bCs/>
                <w:color w:val="FFC000"/>
                <w:szCs w:val="20"/>
                <w:lang w:val="en-US"/>
              </w:rPr>
              <w:t>High</w:t>
            </w:r>
          </w:p>
        </w:tc>
        <w:tc>
          <w:tcPr>
            <w:tcW w:w="1978" w:type="dxa"/>
            <w:vMerge w:val="restart"/>
            <w:shd w:val="clear" w:color="auto" w:fill="auto"/>
            <w:vAlign w:val="center"/>
            <w:hideMark/>
          </w:tcPr>
          <w:p w14:paraId="6857F9BB" w14:textId="77777777" w:rsidR="00F05EE3" w:rsidRPr="00F664E3" w:rsidRDefault="00F05EE3" w:rsidP="009831E3">
            <w:pPr>
              <w:rPr>
                <w:rFonts w:ascii="Arial" w:eastAsia="Times New Roman" w:hAnsi="Arial" w:cs="Arial"/>
                <w:color w:val="000000"/>
                <w:lang w:val="en-US"/>
              </w:rPr>
            </w:pPr>
            <w:r w:rsidRPr="6977ADED">
              <w:rPr>
                <w:rFonts w:ascii="Arial" w:eastAsia="Times New Roman" w:hAnsi="Arial" w:cs="Arial"/>
                <w:color w:val="000000" w:themeColor="text1"/>
                <w:lang w:val="en-US"/>
              </w:rPr>
              <w:t>All the natural foreshore area and a significant amount of commercial and residential properties are affected.</w:t>
            </w:r>
          </w:p>
        </w:tc>
      </w:tr>
      <w:tr w:rsidR="00F05EE3" w:rsidRPr="00F664E3" w14:paraId="56894AEA" w14:textId="77777777" w:rsidTr="001906FC">
        <w:trPr>
          <w:trHeight w:val="313"/>
        </w:trPr>
        <w:tc>
          <w:tcPr>
            <w:tcW w:w="3539" w:type="dxa"/>
            <w:shd w:val="clear" w:color="auto" w:fill="auto"/>
            <w:vAlign w:val="center"/>
            <w:hideMark/>
          </w:tcPr>
          <w:p w14:paraId="35ED2916"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Commercial</w:t>
            </w:r>
          </w:p>
        </w:tc>
        <w:tc>
          <w:tcPr>
            <w:tcW w:w="1052" w:type="dxa"/>
            <w:shd w:val="clear" w:color="auto" w:fill="D9D9D9" w:themeFill="background1" w:themeFillShade="D9"/>
            <w:noWrap/>
            <w:vAlign w:val="center"/>
            <w:hideMark/>
          </w:tcPr>
          <w:p w14:paraId="664E0C8D"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5B447C13"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6D58D298"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03940E6E" w14:textId="77777777" w:rsidR="00F05EE3" w:rsidRPr="00F664E3" w:rsidRDefault="00F05EE3" w:rsidP="009831E3">
            <w:pPr>
              <w:jc w:val="center"/>
              <w:rPr>
                <w:rFonts w:ascii="Arial" w:eastAsia="Times New Roman" w:hAnsi="Arial" w:cs="Arial"/>
                <w:b/>
                <w:bCs/>
                <w:color w:val="FFC000"/>
                <w:szCs w:val="20"/>
                <w:lang w:val="en-US"/>
              </w:rPr>
            </w:pPr>
            <w:r w:rsidRPr="00F664E3">
              <w:rPr>
                <w:rFonts w:ascii="Arial" w:eastAsia="Times New Roman" w:hAnsi="Arial" w:cs="Arial"/>
                <w:b/>
                <w:bCs/>
                <w:color w:val="FFC000"/>
                <w:szCs w:val="20"/>
                <w:lang w:val="en-US"/>
              </w:rPr>
              <w:t>High</w:t>
            </w:r>
          </w:p>
        </w:tc>
        <w:tc>
          <w:tcPr>
            <w:tcW w:w="1978" w:type="dxa"/>
            <w:vMerge/>
            <w:vAlign w:val="center"/>
            <w:hideMark/>
          </w:tcPr>
          <w:p w14:paraId="61FA3327" w14:textId="77777777" w:rsidR="00F05EE3" w:rsidRPr="00F664E3" w:rsidRDefault="00F05EE3" w:rsidP="009831E3">
            <w:pPr>
              <w:rPr>
                <w:rFonts w:ascii="Arial" w:eastAsia="Times New Roman" w:hAnsi="Arial" w:cs="Arial"/>
                <w:color w:val="000000"/>
                <w:szCs w:val="20"/>
                <w:lang w:val="en-US"/>
              </w:rPr>
            </w:pPr>
          </w:p>
        </w:tc>
      </w:tr>
      <w:tr w:rsidR="00F05EE3" w:rsidRPr="00F664E3" w14:paraId="326EC910" w14:textId="77777777" w:rsidTr="001906FC">
        <w:trPr>
          <w:trHeight w:val="300"/>
        </w:trPr>
        <w:tc>
          <w:tcPr>
            <w:tcW w:w="3539" w:type="dxa"/>
            <w:shd w:val="clear" w:color="auto" w:fill="auto"/>
            <w:vAlign w:val="center"/>
            <w:hideMark/>
          </w:tcPr>
          <w:p w14:paraId="6C0BD47D"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Developed Foreshore Reserve</w:t>
            </w:r>
          </w:p>
        </w:tc>
        <w:tc>
          <w:tcPr>
            <w:tcW w:w="1052" w:type="dxa"/>
            <w:shd w:val="clear" w:color="auto" w:fill="D9D9D9" w:themeFill="background1" w:themeFillShade="D9"/>
            <w:noWrap/>
            <w:vAlign w:val="center"/>
            <w:hideMark/>
          </w:tcPr>
          <w:p w14:paraId="1CE3A551" w14:textId="77777777" w:rsidR="00F05EE3" w:rsidRPr="00F664E3" w:rsidRDefault="00F05EE3" w:rsidP="009831E3">
            <w:pPr>
              <w:jc w:val="center"/>
              <w:rPr>
                <w:rFonts w:ascii="Arial" w:eastAsia="Times New Roman" w:hAnsi="Arial" w:cs="Arial"/>
                <w:b/>
                <w:bCs/>
                <w:color w:val="00B050"/>
                <w:szCs w:val="20"/>
                <w:lang w:val="en-US"/>
              </w:rPr>
            </w:pPr>
            <w:r w:rsidRPr="00F664E3">
              <w:rPr>
                <w:rFonts w:ascii="Arial" w:eastAsia="Times New Roman" w:hAnsi="Arial" w:cs="Arial"/>
                <w:b/>
                <w:bCs/>
                <w:color w:val="00B050"/>
                <w:szCs w:val="20"/>
                <w:lang w:val="en-US"/>
              </w:rPr>
              <w:t>Low</w:t>
            </w:r>
          </w:p>
        </w:tc>
        <w:tc>
          <w:tcPr>
            <w:tcW w:w="1053" w:type="dxa"/>
            <w:shd w:val="clear" w:color="auto" w:fill="D9D9D9" w:themeFill="background1" w:themeFillShade="D9"/>
            <w:noWrap/>
            <w:vAlign w:val="center"/>
            <w:hideMark/>
          </w:tcPr>
          <w:p w14:paraId="6449C919"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7DB4B884"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1917AA80"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3BF49E6E" w14:textId="77777777" w:rsidR="00F05EE3" w:rsidRPr="00F664E3" w:rsidRDefault="00F05EE3" w:rsidP="009831E3">
            <w:pPr>
              <w:rPr>
                <w:rFonts w:ascii="Arial" w:eastAsia="Times New Roman" w:hAnsi="Arial" w:cs="Arial"/>
                <w:color w:val="000000"/>
                <w:szCs w:val="20"/>
                <w:lang w:val="en-US"/>
              </w:rPr>
            </w:pPr>
          </w:p>
        </w:tc>
      </w:tr>
      <w:tr w:rsidR="00F05EE3" w:rsidRPr="00F664E3" w14:paraId="4DC283EF" w14:textId="77777777" w:rsidTr="001906FC">
        <w:trPr>
          <w:trHeight w:val="323"/>
        </w:trPr>
        <w:tc>
          <w:tcPr>
            <w:tcW w:w="3539" w:type="dxa"/>
            <w:shd w:val="clear" w:color="auto" w:fill="auto"/>
            <w:vAlign w:val="center"/>
            <w:hideMark/>
          </w:tcPr>
          <w:p w14:paraId="5F244241"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Public &amp; Community</w:t>
            </w:r>
          </w:p>
        </w:tc>
        <w:tc>
          <w:tcPr>
            <w:tcW w:w="1052" w:type="dxa"/>
            <w:shd w:val="clear" w:color="auto" w:fill="D9D9D9" w:themeFill="background1" w:themeFillShade="D9"/>
            <w:noWrap/>
            <w:vAlign w:val="center"/>
            <w:hideMark/>
          </w:tcPr>
          <w:p w14:paraId="0D0E907B"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02C9827F"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07A00461"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20D4A03C"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1813E19A" w14:textId="77777777" w:rsidR="00F05EE3" w:rsidRPr="00F664E3" w:rsidRDefault="00F05EE3" w:rsidP="009831E3">
            <w:pPr>
              <w:rPr>
                <w:rFonts w:ascii="Arial" w:eastAsia="Times New Roman" w:hAnsi="Arial" w:cs="Arial"/>
                <w:color w:val="000000"/>
                <w:szCs w:val="20"/>
                <w:lang w:val="en-US"/>
              </w:rPr>
            </w:pPr>
          </w:p>
        </w:tc>
      </w:tr>
      <w:tr w:rsidR="00F05EE3" w:rsidRPr="00F664E3" w14:paraId="77A958CF" w14:textId="77777777" w:rsidTr="001906FC">
        <w:trPr>
          <w:trHeight w:val="313"/>
        </w:trPr>
        <w:tc>
          <w:tcPr>
            <w:tcW w:w="3539" w:type="dxa"/>
            <w:shd w:val="clear" w:color="auto" w:fill="auto"/>
            <w:vAlign w:val="center"/>
            <w:hideMark/>
          </w:tcPr>
          <w:p w14:paraId="3A4C45BF"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Roads</w:t>
            </w:r>
          </w:p>
        </w:tc>
        <w:tc>
          <w:tcPr>
            <w:tcW w:w="1052" w:type="dxa"/>
            <w:shd w:val="clear" w:color="auto" w:fill="D9D9D9" w:themeFill="background1" w:themeFillShade="D9"/>
            <w:noWrap/>
            <w:vAlign w:val="center"/>
            <w:hideMark/>
          </w:tcPr>
          <w:p w14:paraId="1B1C9159"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3200B875"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60B13206"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08D90200"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082E6A1C" w14:textId="77777777" w:rsidR="00F05EE3" w:rsidRPr="00F664E3" w:rsidRDefault="00F05EE3" w:rsidP="009831E3">
            <w:pPr>
              <w:rPr>
                <w:rFonts w:ascii="Arial" w:eastAsia="Times New Roman" w:hAnsi="Arial" w:cs="Arial"/>
                <w:color w:val="000000"/>
                <w:szCs w:val="20"/>
                <w:lang w:val="en-US"/>
              </w:rPr>
            </w:pPr>
          </w:p>
        </w:tc>
      </w:tr>
      <w:tr w:rsidR="00F05EE3" w:rsidRPr="00F664E3" w14:paraId="4CB22940" w14:textId="77777777" w:rsidTr="001906FC">
        <w:trPr>
          <w:trHeight w:val="313"/>
        </w:trPr>
        <w:tc>
          <w:tcPr>
            <w:tcW w:w="3539" w:type="dxa"/>
            <w:shd w:val="clear" w:color="auto" w:fill="auto"/>
            <w:vAlign w:val="center"/>
            <w:hideMark/>
          </w:tcPr>
          <w:p w14:paraId="36C0F695"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Environmental</w:t>
            </w:r>
          </w:p>
        </w:tc>
        <w:tc>
          <w:tcPr>
            <w:tcW w:w="1052" w:type="dxa"/>
            <w:shd w:val="clear" w:color="auto" w:fill="D9D9D9" w:themeFill="background1" w:themeFillShade="D9"/>
            <w:noWrap/>
            <w:vAlign w:val="center"/>
            <w:hideMark/>
          </w:tcPr>
          <w:p w14:paraId="23C095DC" w14:textId="77777777" w:rsidR="00F05EE3" w:rsidRPr="00F664E3" w:rsidRDefault="00F05EE3" w:rsidP="009831E3">
            <w:pPr>
              <w:jc w:val="center"/>
              <w:rPr>
                <w:rFonts w:ascii="Arial" w:eastAsia="Times New Roman" w:hAnsi="Arial" w:cs="Arial"/>
                <w:b/>
                <w:bCs/>
                <w:color w:val="00B050"/>
                <w:szCs w:val="20"/>
                <w:lang w:val="en-US"/>
              </w:rPr>
            </w:pPr>
            <w:r w:rsidRPr="00F664E3">
              <w:rPr>
                <w:rFonts w:ascii="Arial" w:eastAsia="Times New Roman" w:hAnsi="Arial" w:cs="Arial"/>
                <w:b/>
                <w:bCs/>
                <w:color w:val="00B050"/>
                <w:szCs w:val="20"/>
                <w:lang w:val="en-US"/>
              </w:rPr>
              <w:t>Low</w:t>
            </w:r>
          </w:p>
        </w:tc>
        <w:tc>
          <w:tcPr>
            <w:tcW w:w="1053" w:type="dxa"/>
            <w:shd w:val="clear" w:color="auto" w:fill="D9D9D9" w:themeFill="background1" w:themeFillShade="D9"/>
            <w:noWrap/>
            <w:vAlign w:val="center"/>
            <w:hideMark/>
          </w:tcPr>
          <w:p w14:paraId="2E41E9B2"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31AF2429"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270B1236"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6EC668DF" w14:textId="77777777" w:rsidR="00F05EE3" w:rsidRPr="00F664E3" w:rsidRDefault="00F05EE3" w:rsidP="009831E3">
            <w:pPr>
              <w:rPr>
                <w:rFonts w:ascii="Arial" w:eastAsia="Times New Roman" w:hAnsi="Arial" w:cs="Arial"/>
                <w:color w:val="000000"/>
                <w:szCs w:val="20"/>
                <w:lang w:val="en-US"/>
              </w:rPr>
            </w:pPr>
          </w:p>
        </w:tc>
      </w:tr>
      <w:tr w:rsidR="00F05EE3" w:rsidRPr="00F664E3" w14:paraId="03E1039C" w14:textId="77777777" w:rsidTr="001906FC">
        <w:trPr>
          <w:trHeight w:val="313"/>
        </w:trPr>
        <w:tc>
          <w:tcPr>
            <w:tcW w:w="3539" w:type="dxa"/>
            <w:shd w:val="clear" w:color="auto" w:fill="auto"/>
            <w:vAlign w:val="center"/>
            <w:hideMark/>
          </w:tcPr>
          <w:p w14:paraId="69E54800"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Heritage</w:t>
            </w:r>
          </w:p>
        </w:tc>
        <w:tc>
          <w:tcPr>
            <w:tcW w:w="1052" w:type="dxa"/>
            <w:shd w:val="clear" w:color="auto" w:fill="D9D9D9" w:themeFill="background1" w:themeFillShade="D9"/>
            <w:noWrap/>
            <w:vAlign w:val="center"/>
            <w:hideMark/>
          </w:tcPr>
          <w:p w14:paraId="1C081A58"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7DE75C7C"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2FD3FBEE"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7274AF1A"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016E69E4" w14:textId="77777777" w:rsidR="00F05EE3" w:rsidRPr="00F664E3" w:rsidRDefault="00F05EE3" w:rsidP="009831E3">
            <w:pPr>
              <w:rPr>
                <w:rFonts w:ascii="Arial" w:eastAsia="Times New Roman" w:hAnsi="Arial" w:cs="Arial"/>
                <w:color w:val="000000"/>
                <w:szCs w:val="20"/>
                <w:lang w:val="en-US"/>
              </w:rPr>
            </w:pPr>
          </w:p>
        </w:tc>
      </w:tr>
      <w:tr w:rsidR="00F05EE3" w:rsidRPr="00F664E3" w14:paraId="738635C1" w14:textId="77777777" w:rsidTr="001906FC">
        <w:trPr>
          <w:trHeight w:val="313"/>
        </w:trPr>
        <w:tc>
          <w:tcPr>
            <w:tcW w:w="3539" w:type="dxa"/>
            <w:shd w:val="clear" w:color="auto" w:fill="BCE9FE" w:themeFill="accent1" w:themeFillTint="33"/>
            <w:noWrap/>
            <w:vAlign w:val="center"/>
            <w:hideMark/>
          </w:tcPr>
          <w:p w14:paraId="6A54187D" w14:textId="77777777" w:rsidR="00F05EE3" w:rsidRPr="00F664E3" w:rsidRDefault="00F05EE3" w:rsidP="009831E3">
            <w:pP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MU3 - Rushy Point to Limekilns Point</w:t>
            </w:r>
          </w:p>
        </w:tc>
        <w:tc>
          <w:tcPr>
            <w:tcW w:w="1052" w:type="dxa"/>
            <w:shd w:val="clear" w:color="auto" w:fill="BCE9FE" w:themeFill="accent1" w:themeFillTint="33"/>
            <w:noWrap/>
            <w:vAlign w:val="center"/>
            <w:hideMark/>
          </w:tcPr>
          <w:p w14:paraId="373C6E2D"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053" w:type="dxa"/>
            <w:shd w:val="clear" w:color="auto" w:fill="BCE9FE" w:themeFill="accent1" w:themeFillTint="33"/>
            <w:noWrap/>
            <w:vAlign w:val="center"/>
            <w:hideMark/>
          </w:tcPr>
          <w:p w14:paraId="245B8B1E"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014" w:type="dxa"/>
            <w:shd w:val="clear" w:color="auto" w:fill="BCE9FE" w:themeFill="accent1" w:themeFillTint="33"/>
            <w:noWrap/>
            <w:vAlign w:val="center"/>
            <w:hideMark/>
          </w:tcPr>
          <w:p w14:paraId="66F4BE69"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992" w:type="dxa"/>
            <w:shd w:val="clear" w:color="auto" w:fill="BCE9FE" w:themeFill="accent1" w:themeFillTint="33"/>
            <w:noWrap/>
            <w:vAlign w:val="center"/>
            <w:hideMark/>
          </w:tcPr>
          <w:p w14:paraId="5639AB0B"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978" w:type="dxa"/>
            <w:shd w:val="clear" w:color="auto" w:fill="BCE9FE" w:themeFill="accent1" w:themeFillTint="33"/>
            <w:vAlign w:val="center"/>
            <w:hideMark/>
          </w:tcPr>
          <w:p w14:paraId="7D63AA39" w14:textId="77777777" w:rsidR="00F05EE3" w:rsidRPr="00F664E3" w:rsidRDefault="00F05EE3" w:rsidP="009831E3">
            <w:pP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r>
      <w:tr w:rsidR="00F05EE3" w:rsidRPr="00F664E3" w14:paraId="367544DE" w14:textId="77777777" w:rsidTr="001906FC">
        <w:trPr>
          <w:trHeight w:val="313"/>
        </w:trPr>
        <w:tc>
          <w:tcPr>
            <w:tcW w:w="3539" w:type="dxa"/>
            <w:shd w:val="clear" w:color="auto" w:fill="auto"/>
            <w:vAlign w:val="center"/>
            <w:hideMark/>
          </w:tcPr>
          <w:p w14:paraId="7EC9206D"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Residential</w:t>
            </w:r>
          </w:p>
        </w:tc>
        <w:tc>
          <w:tcPr>
            <w:tcW w:w="1052" w:type="dxa"/>
            <w:shd w:val="clear" w:color="auto" w:fill="D9D9D9" w:themeFill="background1" w:themeFillShade="D9"/>
            <w:noWrap/>
            <w:vAlign w:val="center"/>
            <w:hideMark/>
          </w:tcPr>
          <w:p w14:paraId="04EDE46C"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3560A939"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5848CD11"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7BEFEB73" w14:textId="77777777" w:rsidR="00F05EE3" w:rsidRPr="00F664E3" w:rsidRDefault="00F05EE3" w:rsidP="009831E3">
            <w:pPr>
              <w:jc w:val="center"/>
              <w:rPr>
                <w:rFonts w:ascii="Arial" w:eastAsia="Times New Roman" w:hAnsi="Arial" w:cs="Arial"/>
                <w:b/>
                <w:bCs/>
                <w:color w:val="FFC000"/>
                <w:szCs w:val="20"/>
                <w:lang w:val="en-US"/>
              </w:rPr>
            </w:pPr>
            <w:r w:rsidRPr="00F664E3">
              <w:rPr>
                <w:rFonts w:ascii="Arial" w:eastAsia="Times New Roman" w:hAnsi="Arial" w:cs="Arial"/>
                <w:b/>
                <w:bCs/>
                <w:color w:val="FFC000"/>
                <w:szCs w:val="20"/>
                <w:lang w:val="en-US"/>
              </w:rPr>
              <w:t>High</w:t>
            </w:r>
          </w:p>
        </w:tc>
        <w:tc>
          <w:tcPr>
            <w:tcW w:w="1978" w:type="dxa"/>
            <w:vMerge w:val="restart"/>
            <w:shd w:val="clear" w:color="auto" w:fill="auto"/>
            <w:vAlign w:val="center"/>
            <w:hideMark/>
          </w:tcPr>
          <w:p w14:paraId="3E2898A8" w14:textId="77777777" w:rsidR="00F05EE3" w:rsidRPr="00F664E3" w:rsidRDefault="00F05EE3" w:rsidP="009831E3">
            <w:pPr>
              <w:rPr>
                <w:rFonts w:ascii="Arial" w:eastAsia="Times New Roman" w:hAnsi="Arial" w:cs="Arial"/>
                <w:color w:val="000000"/>
                <w:lang w:val="en-US"/>
              </w:rPr>
            </w:pPr>
            <w:r w:rsidRPr="6977ADED">
              <w:rPr>
                <w:rFonts w:ascii="Arial" w:eastAsia="Times New Roman" w:hAnsi="Arial" w:cs="Arial"/>
                <w:color w:val="000000" w:themeColor="text1"/>
                <w:lang w:val="en-US"/>
              </w:rPr>
              <w:t>Princess Royal Sailing Club, a significative amount of Developed Foreshore reserve, residential and commercial are affected in this MU.</w:t>
            </w:r>
          </w:p>
        </w:tc>
      </w:tr>
      <w:tr w:rsidR="00F05EE3" w:rsidRPr="00F664E3" w14:paraId="1B5B308D" w14:textId="77777777" w:rsidTr="001906FC">
        <w:trPr>
          <w:trHeight w:val="313"/>
        </w:trPr>
        <w:tc>
          <w:tcPr>
            <w:tcW w:w="3539" w:type="dxa"/>
            <w:shd w:val="clear" w:color="auto" w:fill="auto"/>
            <w:vAlign w:val="center"/>
            <w:hideMark/>
          </w:tcPr>
          <w:p w14:paraId="4BDFB856"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Commercial</w:t>
            </w:r>
          </w:p>
        </w:tc>
        <w:tc>
          <w:tcPr>
            <w:tcW w:w="1052" w:type="dxa"/>
            <w:shd w:val="clear" w:color="auto" w:fill="D9D9D9" w:themeFill="background1" w:themeFillShade="D9"/>
            <w:noWrap/>
            <w:vAlign w:val="center"/>
            <w:hideMark/>
          </w:tcPr>
          <w:p w14:paraId="60AFA437"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4D3BBE2D"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07FBA948"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5C99D5F8" w14:textId="77777777" w:rsidR="00F05EE3" w:rsidRPr="00F664E3" w:rsidRDefault="00F05EE3" w:rsidP="009831E3">
            <w:pPr>
              <w:jc w:val="center"/>
              <w:rPr>
                <w:rFonts w:ascii="Arial" w:eastAsia="Times New Roman" w:hAnsi="Arial" w:cs="Arial"/>
                <w:b/>
                <w:bCs/>
                <w:color w:val="FFC000"/>
                <w:szCs w:val="20"/>
                <w:lang w:val="en-US"/>
              </w:rPr>
            </w:pPr>
            <w:r w:rsidRPr="00F664E3">
              <w:rPr>
                <w:rFonts w:ascii="Arial" w:eastAsia="Times New Roman" w:hAnsi="Arial" w:cs="Arial"/>
                <w:b/>
                <w:bCs/>
                <w:color w:val="FFC000"/>
                <w:szCs w:val="20"/>
                <w:lang w:val="en-US"/>
              </w:rPr>
              <w:t>High</w:t>
            </w:r>
          </w:p>
        </w:tc>
        <w:tc>
          <w:tcPr>
            <w:tcW w:w="1978" w:type="dxa"/>
            <w:vMerge/>
            <w:vAlign w:val="center"/>
            <w:hideMark/>
          </w:tcPr>
          <w:p w14:paraId="14B26862" w14:textId="77777777" w:rsidR="00F05EE3" w:rsidRPr="00F664E3" w:rsidRDefault="00F05EE3" w:rsidP="009831E3">
            <w:pPr>
              <w:rPr>
                <w:rFonts w:ascii="Arial" w:eastAsia="Times New Roman" w:hAnsi="Arial" w:cs="Arial"/>
                <w:color w:val="000000"/>
                <w:szCs w:val="20"/>
                <w:lang w:val="en-US"/>
              </w:rPr>
            </w:pPr>
          </w:p>
        </w:tc>
      </w:tr>
      <w:tr w:rsidR="00F05EE3" w:rsidRPr="00F664E3" w14:paraId="602E316E" w14:textId="77777777" w:rsidTr="001906FC">
        <w:trPr>
          <w:trHeight w:val="403"/>
        </w:trPr>
        <w:tc>
          <w:tcPr>
            <w:tcW w:w="3539" w:type="dxa"/>
            <w:shd w:val="clear" w:color="auto" w:fill="auto"/>
            <w:vAlign w:val="center"/>
            <w:hideMark/>
          </w:tcPr>
          <w:p w14:paraId="14624680"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Developed Foreshore Reserve</w:t>
            </w:r>
          </w:p>
        </w:tc>
        <w:tc>
          <w:tcPr>
            <w:tcW w:w="1052" w:type="dxa"/>
            <w:shd w:val="clear" w:color="auto" w:fill="D9D9D9" w:themeFill="background1" w:themeFillShade="D9"/>
            <w:noWrap/>
            <w:vAlign w:val="center"/>
            <w:hideMark/>
          </w:tcPr>
          <w:p w14:paraId="19375599" w14:textId="77777777" w:rsidR="00F05EE3" w:rsidRPr="00F664E3" w:rsidRDefault="00F05EE3" w:rsidP="009831E3">
            <w:pPr>
              <w:jc w:val="center"/>
              <w:rPr>
                <w:rFonts w:ascii="Arial" w:eastAsia="Times New Roman" w:hAnsi="Arial" w:cs="Arial"/>
                <w:b/>
                <w:bCs/>
                <w:color w:val="00B050"/>
                <w:szCs w:val="20"/>
                <w:lang w:val="en-US"/>
              </w:rPr>
            </w:pPr>
            <w:r w:rsidRPr="00F664E3">
              <w:rPr>
                <w:rFonts w:ascii="Arial" w:eastAsia="Times New Roman" w:hAnsi="Arial" w:cs="Arial"/>
                <w:b/>
                <w:bCs/>
                <w:color w:val="00B050"/>
                <w:szCs w:val="20"/>
                <w:lang w:val="en-US"/>
              </w:rPr>
              <w:t>Low</w:t>
            </w:r>
          </w:p>
        </w:tc>
        <w:tc>
          <w:tcPr>
            <w:tcW w:w="1053" w:type="dxa"/>
            <w:shd w:val="clear" w:color="auto" w:fill="D9D9D9" w:themeFill="background1" w:themeFillShade="D9"/>
            <w:noWrap/>
            <w:vAlign w:val="center"/>
            <w:hideMark/>
          </w:tcPr>
          <w:p w14:paraId="7ADB91CA"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5474EFF6"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25269AB1"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55094879" w14:textId="77777777" w:rsidR="00F05EE3" w:rsidRPr="00F664E3" w:rsidRDefault="00F05EE3" w:rsidP="009831E3">
            <w:pPr>
              <w:rPr>
                <w:rFonts w:ascii="Arial" w:eastAsia="Times New Roman" w:hAnsi="Arial" w:cs="Arial"/>
                <w:color w:val="000000"/>
                <w:szCs w:val="20"/>
                <w:lang w:val="en-US"/>
              </w:rPr>
            </w:pPr>
          </w:p>
        </w:tc>
      </w:tr>
      <w:tr w:rsidR="00F05EE3" w:rsidRPr="00F664E3" w14:paraId="285DDD73" w14:textId="77777777" w:rsidTr="001906FC">
        <w:trPr>
          <w:trHeight w:val="298"/>
        </w:trPr>
        <w:tc>
          <w:tcPr>
            <w:tcW w:w="3539" w:type="dxa"/>
            <w:shd w:val="clear" w:color="auto" w:fill="auto"/>
            <w:vAlign w:val="center"/>
            <w:hideMark/>
          </w:tcPr>
          <w:p w14:paraId="672B433E"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Public &amp; Community</w:t>
            </w:r>
          </w:p>
        </w:tc>
        <w:tc>
          <w:tcPr>
            <w:tcW w:w="1052" w:type="dxa"/>
            <w:shd w:val="clear" w:color="auto" w:fill="D9D9D9" w:themeFill="background1" w:themeFillShade="D9"/>
            <w:noWrap/>
            <w:vAlign w:val="center"/>
            <w:hideMark/>
          </w:tcPr>
          <w:p w14:paraId="01BF8C27"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2C70537D"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6C3FB967"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63B890D6"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3A995BA7" w14:textId="77777777" w:rsidR="00F05EE3" w:rsidRPr="00F664E3" w:rsidRDefault="00F05EE3" w:rsidP="009831E3">
            <w:pPr>
              <w:rPr>
                <w:rFonts w:ascii="Arial" w:eastAsia="Times New Roman" w:hAnsi="Arial" w:cs="Arial"/>
                <w:color w:val="000000"/>
                <w:szCs w:val="20"/>
                <w:lang w:val="en-US"/>
              </w:rPr>
            </w:pPr>
          </w:p>
        </w:tc>
      </w:tr>
      <w:tr w:rsidR="00F05EE3" w:rsidRPr="00F664E3" w14:paraId="0FCC269B" w14:textId="77777777" w:rsidTr="001906FC">
        <w:trPr>
          <w:trHeight w:val="313"/>
        </w:trPr>
        <w:tc>
          <w:tcPr>
            <w:tcW w:w="3539" w:type="dxa"/>
            <w:shd w:val="clear" w:color="auto" w:fill="auto"/>
            <w:vAlign w:val="center"/>
            <w:hideMark/>
          </w:tcPr>
          <w:p w14:paraId="34055F11"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Roads</w:t>
            </w:r>
          </w:p>
        </w:tc>
        <w:tc>
          <w:tcPr>
            <w:tcW w:w="1052" w:type="dxa"/>
            <w:shd w:val="clear" w:color="auto" w:fill="D9D9D9" w:themeFill="background1" w:themeFillShade="D9"/>
            <w:noWrap/>
            <w:vAlign w:val="center"/>
            <w:hideMark/>
          </w:tcPr>
          <w:p w14:paraId="4D1CE44B"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686EF845"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043765E8"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5C4D2BE7"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179A26B8" w14:textId="77777777" w:rsidR="00F05EE3" w:rsidRPr="00F664E3" w:rsidRDefault="00F05EE3" w:rsidP="009831E3">
            <w:pPr>
              <w:rPr>
                <w:rFonts w:ascii="Arial" w:eastAsia="Times New Roman" w:hAnsi="Arial" w:cs="Arial"/>
                <w:color w:val="000000"/>
                <w:szCs w:val="20"/>
                <w:lang w:val="en-US"/>
              </w:rPr>
            </w:pPr>
          </w:p>
        </w:tc>
      </w:tr>
      <w:tr w:rsidR="00F05EE3" w:rsidRPr="00F664E3" w14:paraId="75E3F771" w14:textId="77777777" w:rsidTr="001906FC">
        <w:trPr>
          <w:trHeight w:val="313"/>
        </w:trPr>
        <w:tc>
          <w:tcPr>
            <w:tcW w:w="3539" w:type="dxa"/>
            <w:shd w:val="clear" w:color="auto" w:fill="auto"/>
            <w:vAlign w:val="center"/>
            <w:hideMark/>
          </w:tcPr>
          <w:p w14:paraId="25F1BFE8"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Environmental</w:t>
            </w:r>
          </w:p>
        </w:tc>
        <w:tc>
          <w:tcPr>
            <w:tcW w:w="1052" w:type="dxa"/>
            <w:shd w:val="clear" w:color="auto" w:fill="D9D9D9" w:themeFill="background1" w:themeFillShade="D9"/>
            <w:noWrap/>
            <w:vAlign w:val="center"/>
            <w:hideMark/>
          </w:tcPr>
          <w:p w14:paraId="465BF894" w14:textId="77777777" w:rsidR="00F05EE3" w:rsidRPr="00F664E3" w:rsidRDefault="00F05EE3" w:rsidP="009831E3">
            <w:pPr>
              <w:jc w:val="center"/>
              <w:rPr>
                <w:rFonts w:ascii="Arial" w:eastAsia="Times New Roman" w:hAnsi="Arial" w:cs="Arial"/>
                <w:b/>
                <w:bCs/>
                <w:color w:val="00B050"/>
                <w:szCs w:val="20"/>
                <w:lang w:val="en-US"/>
              </w:rPr>
            </w:pPr>
            <w:r w:rsidRPr="00F664E3">
              <w:rPr>
                <w:rFonts w:ascii="Arial" w:eastAsia="Times New Roman" w:hAnsi="Arial" w:cs="Arial"/>
                <w:b/>
                <w:bCs/>
                <w:color w:val="00B050"/>
                <w:szCs w:val="20"/>
                <w:lang w:val="en-US"/>
              </w:rPr>
              <w:t>Low</w:t>
            </w:r>
          </w:p>
        </w:tc>
        <w:tc>
          <w:tcPr>
            <w:tcW w:w="1053" w:type="dxa"/>
            <w:shd w:val="clear" w:color="auto" w:fill="D9D9D9" w:themeFill="background1" w:themeFillShade="D9"/>
            <w:noWrap/>
            <w:vAlign w:val="center"/>
            <w:hideMark/>
          </w:tcPr>
          <w:p w14:paraId="515C22AD"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56AB29AD"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7F6AC216"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3DA4C9F1" w14:textId="77777777" w:rsidR="00F05EE3" w:rsidRPr="00F664E3" w:rsidRDefault="00F05EE3" w:rsidP="009831E3">
            <w:pPr>
              <w:rPr>
                <w:rFonts w:ascii="Arial" w:eastAsia="Times New Roman" w:hAnsi="Arial" w:cs="Arial"/>
                <w:color w:val="000000"/>
                <w:szCs w:val="20"/>
                <w:lang w:val="en-US"/>
              </w:rPr>
            </w:pPr>
          </w:p>
        </w:tc>
      </w:tr>
      <w:tr w:rsidR="00F05EE3" w:rsidRPr="00F664E3" w14:paraId="3C7C3FB0" w14:textId="77777777" w:rsidTr="001906FC">
        <w:trPr>
          <w:trHeight w:val="313"/>
        </w:trPr>
        <w:tc>
          <w:tcPr>
            <w:tcW w:w="3539" w:type="dxa"/>
            <w:shd w:val="clear" w:color="auto" w:fill="auto"/>
            <w:vAlign w:val="center"/>
            <w:hideMark/>
          </w:tcPr>
          <w:p w14:paraId="4598A289"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Heritage</w:t>
            </w:r>
          </w:p>
        </w:tc>
        <w:tc>
          <w:tcPr>
            <w:tcW w:w="1052" w:type="dxa"/>
            <w:shd w:val="clear" w:color="auto" w:fill="D9D9D9" w:themeFill="background1" w:themeFillShade="D9"/>
            <w:noWrap/>
            <w:vAlign w:val="center"/>
            <w:hideMark/>
          </w:tcPr>
          <w:p w14:paraId="0BA03E9C"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1D8E9C2C"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030A11FD"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3460CDC2"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00C263D3" w14:textId="77777777" w:rsidR="00F05EE3" w:rsidRPr="00F664E3" w:rsidRDefault="00F05EE3" w:rsidP="009831E3">
            <w:pPr>
              <w:rPr>
                <w:rFonts w:ascii="Arial" w:eastAsia="Times New Roman" w:hAnsi="Arial" w:cs="Arial"/>
                <w:color w:val="000000"/>
                <w:szCs w:val="20"/>
                <w:lang w:val="en-US"/>
              </w:rPr>
            </w:pPr>
          </w:p>
        </w:tc>
      </w:tr>
      <w:tr w:rsidR="00F05EE3" w:rsidRPr="00F664E3" w14:paraId="579D1C5B" w14:textId="77777777" w:rsidTr="001906FC">
        <w:trPr>
          <w:trHeight w:val="313"/>
        </w:trPr>
        <w:tc>
          <w:tcPr>
            <w:tcW w:w="3539" w:type="dxa"/>
            <w:shd w:val="clear" w:color="auto" w:fill="BCE9FE" w:themeFill="accent1" w:themeFillTint="33"/>
            <w:noWrap/>
            <w:vAlign w:val="center"/>
            <w:hideMark/>
          </w:tcPr>
          <w:p w14:paraId="05A418F6" w14:textId="77777777" w:rsidR="00F05EE3" w:rsidRPr="00F664E3" w:rsidRDefault="00F05EE3" w:rsidP="009831E3">
            <w:pP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MU4 - Limekilns Point to Geake Point</w:t>
            </w:r>
          </w:p>
        </w:tc>
        <w:tc>
          <w:tcPr>
            <w:tcW w:w="1052" w:type="dxa"/>
            <w:shd w:val="clear" w:color="auto" w:fill="BCE9FE" w:themeFill="accent1" w:themeFillTint="33"/>
            <w:noWrap/>
            <w:vAlign w:val="center"/>
            <w:hideMark/>
          </w:tcPr>
          <w:p w14:paraId="035E4207"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053" w:type="dxa"/>
            <w:shd w:val="clear" w:color="auto" w:fill="BCE9FE" w:themeFill="accent1" w:themeFillTint="33"/>
            <w:noWrap/>
            <w:vAlign w:val="center"/>
            <w:hideMark/>
          </w:tcPr>
          <w:p w14:paraId="5217C3E9"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014" w:type="dxa"/>
            <w:shd w:val="clear" w:color="auto" w:fill="BCE9FE" w:themeFill="accent1" w:themeFillTint="33"/>
            <w:noWrap/>
            <w:vAlign w:val="center"/>
            <w:hideMark/>
          </w:tcPr>
          <w:p w14:paraId="74C3926A"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992" w:type="dxa"/>
            <w:shd w:val="clear" w:color="auto" w:fill="BCE9FE" w:themeFill="accent1" w:themeFillTint="33"/>
            <w:noWrap/>
            <w:vAlign w:val="center"/>
            <w:hideMark/>
          </w:tcPr>
          <w:p w14:paraId="0DD4E55F"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978" w:type="dxa"/>
            <w:shd w:val="clear" w:color="auto" w:fill="BCE9FE" w:themeFill="accent1" w:themeFillTint="33"/>
            <w:vAlign w:val="center"/>
            <w:hideMark/>
          </w:tcPr>
          <w:p w14:paraId="3B70208A" w14:textId="77777777" w:rsidR="00F05EE3" w:rsidRPr="00F664E3" w:rsidRDefault="00F05EE3" w:rsidP="009831E3">
            <w:pP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r>
      <w:tr w:rsidR="00F05EE3" w:rsidRPr="00F664E3" w14:paraId="742C98E6" w14:textId="77777777" w:rsidTr="001906FC">
        <w:trPr>
          <w:trHeight w:val="313"/>
        </w:trPr>
        <w:tc>
          <w:tcPr>
            <w:tcW w:w="3539" w:type="dxa"/>
            <w:shd w:val="clear" w:color="auto" w:fill="auto"/>
            <w:vAlign w:val="center"/>
            <w:hideMark/>
          </w:tcPr>
          <w:p w14:paraId="4155C12D"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Residential</w:t>
            </w:r>
          </w:p>
        </w:tc>
        <w:tc>
          <w:tcPr>
            <w:tcW w:w="1052" w:type="dxa"/>
            <w:shd w:val="clear" w:color="auto" w:fill="D9D9D9" w:themeFill="background1" w:themeFillShade="D9"/>
            <w:noWrap/>
            <w:vAlign w:val="center"/>
            <w:hideMark/>
          </w:tcPr>
          <w:p w14:paraId="11E0A754"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727FFC08"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32F4B9CA"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71885006" w14:textId="77777777" w:rsidR="00F05EE3" w:rsidRPr="00F664E3" w:rsidRDefault="00F05EE3" w:rsidP="009831E3">
            <w:pPr>
              <w:jc w:val="center"/>
              <w:rPr>
                <w:rFonts w:ascii="Arial" w:eastAsia="Times New Roman" w:hAnsi="Arial" w:cs="Arial"/>
                <w:b/>
                <w:bCs/>
                <w:color w:val="FFC000"/>
                <w:szCs w:val="20"/>
                <w:lang w:val="en-US"/>
              </w:rPr>
            </w:pPr>
            <w:r w:rsidRPr="00F664E3">
              <w:rPr>
                <w:rFonts w:ascii="Arial" w:eastAsia="Times New Roman" w:hAnsi="Arial" w:cs="Arial"/>
                <w:b/>
                <w:bCs/>
                <w:color w:val="FFC000"/>
                <w:szCs w:val="20"/>
                <w:lang w:val="en-US"/>
              </w:rPr>
              <w:t>High</w:t>
            </w:r>
          </w:p>
        </w:tc>
        <w:tc>
          <w:tcPr>
            <w:tcW w:w="1978" w:type="dxa"/>
            <w:vMerge w:val="restart"/>
            <w:shd w:val="clear" w:color="auto" w:fill="auto"/>
            <w:vAlign w:val="center"/>
            <w:hideMark/>
          </w:tcPr>
          <w:p w14:paraId="1572E7A0"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All the natural and developed foreshore area and some residential properties are affected.</w:t>
            </w:r>
          </w:p>
        </w:tc>
      </w:tr>
      <w:tr w:rsidR="00F05EE3" w:rsidRPr="00F664E3" w14:paraId="3BE91CB2" w14:textId="77777777" w:rsidTr="001906FC">
        <w:trPr>
          <w:trHeight w:val="290"/>
        </w:trPr>
        <w:tc>
          <w:tcPr>
            <w:tcW w:w="3539" w:type="dxa"/>
            <w:shd w:val="clear" w:color="auto" w:fill="auto"/>
            <w:vAlign w:val="center"/>
            <w:hideMark/>
          </w:tcPr>
          <w:p w14:paraId="6DF29D19"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Developed Foreshore Reserve</w:t>
            </w:r>
          </w:p>
        </w:tc>
        <w:tc>
          <w:tcPr>
            <w:tcW w:w="1052" w:type="dxa"/>
            <w:shd w:val="clear" w:color="auto" w:fill="D9D9D9" w:themeFill="background1" w:themeFillShade="D9"/>
            <w:noWrap/>
            <w:vAlign w:val="center"/>
            <w:hideMark/>
          </w:tcPr>
          <w:p w14:paraId="0F81B781" w14:textId="77777777" w:rsidR="00F05EE3" w:rsidRPr="00F664E3" w:rsidRDefault="00F05EE3" w:rsidP="009831E3">
            <w:pPr>
              <w:jc w:val="center"/>
              <w:rPr>
                <w:rFonts w:ascii="Arial" w:eastAsia="Times New Roman" w:hAnsi="Arial" w:cs="Arial"/>
                <w:b/>
                <w:bCs/>
                <w:color w:val="00B050"/>
                <w:szCs w:val="20"/>
                <w:lang w:val="en-US"/>
              </w:rPr>
            </w:pPr>
            <w:r w:rsidRPr="00F664E3">
              <w:rPr>
                <w:rFonts w:ascii="Arial" w:eastAsia="Times New Roman" w:hAnsi="Arial" w:cs="Arial"/>
                <w:b/>
                <w:bCs/>
                <w:color w:val="00B050"/>
                <w:szCs w:val="20"/>
                <w:lang w:val="en-US"/>
              </w:rPr>
              <w:t>Low</w:t>
            </w:r>
          </w:p>
        </w:tc>
        <w:tc>
          <w:tcPr>
            <w:tcW w:w="1053" w:type="dxa"/>
            <w:shd w:val="clear" w:color="auto" w:fill="D9D9D9" w:themeFill="background1" w:themeFillShade="D9"/>
            <w:noWrap/>
            <w:vAlign w:val="center"/>
            <w:hideMark/>
          </w:tcPr>
          <w:p w14:paraId="7E69873B"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3175EB8E"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13DA69A6"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3D13CE96" w14:textId="77777777" w:rsidR="00F05EE3" w:rsidRPr="00F664E3" w:rsidRDefault="00F05EE3" w:rsidP="009831E3">
            <w:pPr>
              <w:rPr>
                <w:rFonts w:ascii="Arial" w:eastAsia="Times New Roman" w:hAnsi="Arial" w:cs="Arial"/>
                <w:color w:val="000000"/>
                <w:szCs w:val="20"/>
                <w:lang w:val="en-US"/>
              </w:rPr>
            </w:pPr>
          </w:p>
        </w:tc>
      </w:tr>
      <w:tr w:rsidR="00F05EE3" w:rsidRPr="00F664E3" w14:paraId="291CC8BF" w14:textId="77777777" w:rsidTr="001906FC">
        <w:trPr>
          <w:trHeight w:val="326"/>
        </w:trPr>
        <w:tc>
          <w:tcPr>
            <w:tcW w:w="3539" w:type="dxa"/>
            <w:shd w:val="clear" w:color="auto" w:fill="auto"/>
            <w:vAlign w:val="center"/>
            <w:hideMark/>
          </w:tcPr>
          <w:p w14:paraId="78FEA816"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Public &amp; Community</w:t>
            </w:r>
          </w:p>
        </w:tc>
        <w:tc>
          <w:tcPr>
            <w:tcW w:w="1052" w:type="dxa"/>
            <w:shd w:val="clear" w:color="auto" w:fill="D9D9D9" w:themeFill="background1" w:themeFillShade="D9"/>
            <w:noWrap/>
            <w:vAlign w:val="center"/>
            <w:hideMark/>
          </w:tcPr>
          <w:p w14:paraId="5C834283"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329B726F"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1081D3CF"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5FA76A9D"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34B1EEA4" w14:textId="77777777" w:rsidR="00F05EE3" w:rsidRPr="00F664E3" w:rsidRDefault="00F05EE3" w:rsidP="009831E3">
            <w:pPr>
              <w:rPr>
                <w:rFonts w:ascii="Arial" w:eastAsia="Times New Roman" w:hAnsi="Arial" w:cs="Arial"/>
                <w:color w:val="000000"/>
                <w:szCs w:val="20"/>
                <w:lang w:val="en-US"/>
              </w:rPr>
            </w:pPr>
          </w:p>
        </w:tc>
      </w:tr>
      <w:tr w:rsidR="00F05EE3" w:rsidRPr="00F664E3" w14:paraId="1A306190" w14:textId="77777777" w:rsidTr="001906FC">
        <w:trPr>
          <w:trHeight w:val="313"/>
        </w:trPr>
        <w:tc>
          <w:tcPr>
            <w:tcW w:w="3539" w:type="dxa"/>
            <w:shd w:val="clear" w:color="auto" w:fill="auto"/>
            <w:vAlign w:val="center"/>
            <w:hideMark/>
          </w:tcPr>
          <w:p w14:paraId="504DFF95"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Roads</w:t>
            </w:r>
          </w:p>
        </w:tc>
        <w:tc>
          <w:tcPr>
            <w:tcW w:w="1052" w:type="dxa"/>
            <w:shd w:val="clear" w:color="auto" w:fill="D9D9D9" w:themeFill="background1" w:themeFillShade="D9"/>
            <w:noWrap/>
            <w:vAlign w:val="center"/>
            <w:hideMark/>
          </w:tcPr>
          <w:p w14:paraId="5B52D9CF"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147ABC82"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439E86B1"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33A2085F"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6A27F6B5" w14:textId="77777777" w:rsidR="00F05EE3" w:rsidRPr="00F664E3" w:rsidRDefault="00F05EE3" w:rsidP="009831E3">
            <w:pPr>
              <w:rPr>
                <w:rFonts w:ascii="Arial" w:eastAsia="Times New Roman" w:hAnsi="Arial" w:cs="Arial"/>
                <w:color w:val="000000"/>
                <w:szCs w:val="20"/>
                <w:lang w:val="en-US"/>
              </w:rPr>
            </w:pPr>
          </w:p>
        </w:tc>
      </w:tr>
      <w:tr w:rsidR="00F05EE3" w:rsidRPr="00F664E3" w14:paraId="0E141BA7" w14:textId="77777777" w:rsidTr="001906FC">
        <w:trPr>
          <w:trHeight w:val="313"/>
        </w:trPr>
        <w:tc>
          <w:tcPr>
            <w:tcW w:w="3539" w:type="dxa"/>
            <w:shd w:val="clear" w:color="auto" w:fill="auto"/>
            <w:vAlign w:val="center"/>
            <w:hideMark/>
          </w:tcPr>
          <w:p w14:paraId="4D1B82B1"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Environmental</w:t>
            </w:r>
          </w:p>
        </w:tc>
        <w:tc>
          <w:tcPr>
            <w:tcW w:w="1052" w:type="dxa"/>
            <w:shd w:val="clear" w:color="auto" w:fill="D9D9D9" w:themeFill="background1" w:themeFillShade="D9"/>
            <w:noWrap/>
            <w:vAlign w:val="center"/>
            <w:hideMark/>
          </w:tcPr>
          <w:p w14:paraId="33718EAD" w14:textId="77777777" w:rsidR="00F05EE3" w:rsidRPr="00F664E3" w:rsidRDefault="00F05EE3" w:rsidP="009831E3">
            <w:pPr>
              <w:jc w:val="center"/>
              <w:rPr>
                <w:rFonts w:ascii="Arial" w:eastAsia="Times New Roman" w:hAnsi="Arial" w:cs="Arial"/>
                <w:b/>
                <w:bCs/>
                <w:color w:val="00B050"/>
                <w:szCs w:val="20"/>
                <w:lang w:val="en-US"/>
              </w:rPr>
            </w:pPr>
            <w:r w:rsidRPr="00F664E3">
              <w:rPr>
                <w:rFonts w:ascii="Arial" w:eastAsia="Times New Roman" w:hAnsi="Arial" w:cs="Arial"/>
                <w:b/>
                <w:bCs/>
                <w:color w:val="00B050"/>
                <w:szCs w:val="20"/>
                <w:lang w:val="en-US"/>
              </w:rPr>
              <w:t>Low</w:t>
            </w:r>
          </w:p>
        </w:tc>
        <w:tc>
          <w:tcPr>
            <w:tcW w:w="1053" w:type="dxa"/>
            <w:shd w:val="clear" w:color="auto" w:fill="D9D9D9" w:themeFill="background1" w:themeFillShade="D9"/>
            <w:noWrap/>
            <w:vAlign w:val="center"/>
            <w:hideMark/>
          </w:tcPr>
          <w:p w14:paraId="267B5C8A"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6599DDDE"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5AE16F47"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1576EAA3" w14:textId="77777777" w:rsidR="00F05EE3" w:rsidRPr="00F664E3" w:rsidRDefault="00F05EE3" w:rsidP="009831E3">
            <w:pPr>
              <w:rPr>
                <w:rFonts w:ascii="Arial" w:eastAsia="Times New Roman" w:hAnsi="Arial" w:cs="Arial"/>
                <w:color w:val="000000"/>
                <w:szCs w:val="20"/>
                <w:lang w:val="en-US"/>
              </w:rPr>
            </w:pPr>
          </w:p>
        </w:tc>
      </w:tr>
      <w:tr w:rsidR="00F05EE3" w:rsidRPr="00F664E3" w14:paraId="5A0A2627" w14:textId="77777777" w:rsidTr="001906FC">
        <w:trPr>
          <w:trHeight w:val="313"/>
        </w:trPr>
        <w:tc>
          <w:tcPr>
            <w:tcW w:w="3539" w:type="dxa"/>
            <w:shd w:val="clear" w:color="auto" w:fill="auto"/>
            <w:vAlign w:val="center"/>
            <w:hideMark/>
          </w:tcPr>
          <w:p w14:paraId="34757E21"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Heritage</w:t>
            </w:r>
          </w:p>
        </w:tc>
        <w:tc>
          <w:tcPr>
            <w:tcW w:w="1052" w:type="dxa"/>
            <w:shd w:val="clear" w:color="auto" w:fill="D9D9D9" w:themeFill="background1" w:themeFillShade="D9"/>
            <w:noWrap/>
            <w:vAlign w:val="center"/>
            <w:hideMark/>
          </w:tcPr>
          <w:p w14:paraId="1A749520"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0589BE00"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104AC385"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1F3B7DAA"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4850AD03" w14:textId="77777777" w:rsidR="00F05EE3" w:rsidRPr="00F664E3" w:rsidRDefault="00F05EE3" w:rsidP="009831E3">
            <w:pPr>
              <w:rPr>
                <w:rFonts w:ascii="Arial" w:eastAsia="Times New Roman" w:hAnsi="Arial" w:cs="Arial"/>
                <w:color w:val="000000"/>
                <w:szCs w:val="20"/>
                <w:lang w:val="en-US"/>
              </w:rPr>
            </w:pPr>
          </w:p>
        </w:tc>
      </w:tr>
      <w:tr w:rsidR="00F05EE3" w:rsidRPr="00F664E3" w14:paraId="3135967B" w14:textId="77777777" w:rsidTr="001906FC">
        <w:trPr>
          <w:trHeight w:val="313"/>
        </w:trPr>
        <w:tc>
          <w:tcPr>
            <w:tcW w:w="3539" w:type="dxa"/>
            <w:shd w:val="clear" w:color="auto" w:fill="BCE9FE" w:themeFill="accent1" w:themeFillTint="33"/>
            <w:noWrap/>
            <w:vAlign w:val="center"/>
            <w:hideMark/>
          </w:tcPr>
          <w:p w14:paraId="52668CBE" w14:textId="77777777" w:rsidR="00F05EE3" w:rsidRPr="00F664E3" w:rsidRDefault="00F05EE3" w:rsidP="009831E3">
            <w:pP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xml:space="preserve">MU5 - Geake Point to </w:t>
            </w:r>
            <w:r>
              <w:rPr>
                <w:rFonts w:ascii="Arial" w:eastAsia="Times New Roman" w:hAnsi="Arial" w:cs="Arial"/>
                <w:b/>
                <w:bCs/>
                <w:color w:val="000000"/>
                <w:szCs w:val="20"/>
                <w:lang w:val="en-US"/>
              </w:rPr>
              <w:t xml:space="preserve">Point </w:t>
            </w:r>
            <w:r w:rsidRPr="00F664E3">
              <w:rPr>
                <w:rFonts w:ascii="Arial" w:eastAsia="Times New Roman" w:hAnsi="Arial" w:cs="Arial"/>
                <w:b/>
                <w:bCs/>
                <w:color w:val="000000"/>
                <w:szCs w:val="20"/>
                <w:lang w:val="en-US"/>
              </w:rPr>
              <w:t xml:space="preserve">Possession </w:t>
            </w:r>
            <w:r>
              <w:rPr>
                <w:rFonts w:ascii="Arial" w:eastAsia="Times New Roman" w:hAnsi="Arial" w:cs="Arial"/>
                <w:b/>
                <w:bCs/>
                <w:color w:val="000000"/>
                <w:szCs w:val="20"/>
                <w:lang w:val="en-US"/>
              </w:rPr>
              <w:t xml:space="preserve">/ Uredale </w:t>
            </w:r>
            <w:r w:rsidRPr="00F664E3">
              <w:rPr>
                <w:rFonts w:ascii="Arial" w:eastAsia="Times New Roman" w:hAnsi="Arial" w:cs="Arial"/>
                <w:b/>
                <w:bCs/>
                <w:color w:val="000000"/>
                <w:szCs w:val="20"/>
                <w:lang w:val="en-US"/>
              </w:rPr>
              <w:t xml:space="preserve">Point </w:t>
            </w:r>
          </w:p>
        </w:tc>
        <w:tc>
          <w:tcPr>
            <w:tcW w:w="1052" w:type="dxa"/>
            <w:shd w:val="clear" w:color="auto" w:fill="BCE9FE" w:themeFill="accent1" w:themeFillTint="33"/>
            <w:noWrap/>
            <w:vAlign w:val="center"/>
            <w:hideMark/>
          </w:tcPr>
          <w:p w14:paraId="4332486A"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053" w:type="dxa"/>
            <w:shd w:val="clear" w:color="auto" w:fill="BCE9FE" w:themeFill="accent1" w:themeFillTint="33"/>
            <w:noWrap/>
            <w:vAlign w:val="center"/>
            <w:hideMark/>
          </w:tcPr>
          <w:p w14:paraId="7B10D9DB"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014" w:type="dxa"/>
            <w:shd w:val="clear" w:color="auto" w:fill="BCE9FE" w:themeFill="accent1" w:themeFillTint="33"/>
            <w:noWrap/>
            <w:vAlign w:val="center"/>
            <w:hideMark/>
          </w:tcPr>
          <w:p w14:paraId="50828E1C"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992" w:type="dxa"/>
            <w:shd w:val="clear" w:color="auto" w:fill="BCE9FE" w:themeFill="accent1" w:themeFillTint="33"/>
            <w:noWrap/>
            <w:vAlign w:val="center"/>
            <w:hideMark/>
          </w:tcPr>
          <w:p w14:paraId="3B92A336" w14:textId="77777777" w:rsidR="00F05EE3" w:rsidRPr="00F664E3" w:rsidRDefault="00F05EE3" w:rsidP="009831E3">
            <w:pPr>
              <w:jc w:val="cente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c>
          <w:tcPr>
            <w:tcW w:w="1978" w:type="dxa"/>
            <w:shd w:val="clear" w:color="auto" w:fill="BCE9FE" w:themeFill="accent1" w:themeFillTint="33"/>
            <w:vAlign w:val="center"/>
            <w:hideMark/>
          </w:tcPr>
          <w:p w14:paraId="038C1CB2" w14:textId="77777777" w:rsidR="00F05EE3" w:rsidRPr="00F664E3" w:rsidRDefault="00F05EE3" w:rsidP="009831E3">
            <w:pPr>
              <w:rPr>
                <w:rFonts w:ascii="Arial" w:eastAsia="Times New Roman" w:hAnsi="Arial" w:cs="Arial"/>
                <w:b/>
                <w:bCs/>
                <w:color w:val="000000"/>
                <w:szCs w:val="20"/>
                <w:lang w:val="en-US"/>
              </w:rPr>
            </w:pPr>
            <w:r w:rsidRPr="00F664E3">
              <w:rPr>
                <w:rFonts w:ascii="Arial" w:eastAsia="Times New Roman" w:hAnsi="Arial" w:cs="Arial"/>
                <w:b/>
                <w:bCs/>
                <w:color w:val="000000"/>
                <w:szCs w:val="20"/>
                <w:lang w:val="en-US"/>
              </w:rPr>
              <w:t> </w:t>
            </w:r>
          </w:p>
        </w:tc>
      </w:tr>
      <w:tr w:rsidR="00F05EE3" w:rsidRPr="00F664E3" w14:paraId="3CA7D71E" w14:textId="77777777" w:rsidTr="001906FC">
        <w:trPr>
          <w:trHeight w:val="313"/>
        </w:trPr>
        <w:tc>
          <w:tcPr>
            <w:tcW w:w="3539" w:type="dxa"/>
            <w:shd w:val="clear" w:color="auto" w:fill="auto"/>
            <w:vAlign w:val="center"/>
            <w:hideMark/>
          </w:tcPr>
          <w:p w14:paraId="6FDAC0E7"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Roads</w:t>
            </w:r>
          </w:p>
        </w:tc>
        <w:tc>
          <w:tcPr>
            <w:tcW w:w="1052" w:type="dxa"/>
            <w:shd w:val="clear" w:color="auto" w:fill="D9D9D9" w:themeFill="background1" w:themeFillShade="D9"/>
            <w:noWrap/>
            <w:vAlign w:val="center"/>
            <w:hideMark/>
          </w:tcPr>
          <w:p w14:paraId="36273E0D"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1A84545D"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61A52CE1"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18B79D51"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restart"/>
            <w:vAlign w:val="center"/>
            <w:hideMark/>
          </w:tcPr>
          <w:p w14:paraId="571ADD47" w14:textId="1D2861AA" w:rsidR="00F05EE3" w:rsidRPr="00F664E3" w:rsidRDefault="00F05EE3" w:rsidP="009831E3">
            <w:pPr>
              <w:rPr>
                <w:rFonts w:ascii="Arial" w:eastAsia="Times New Roman" w:hAnsi="Arial" w:cs="Arial"/>
                <w:color w:val="000000"/>
                <w:szCs w:val="20"/>
                <w:lang w:val="en-US"/>
              </w:rPr>
            </w:pPr>
            <w:r>
              <w:rPr>
                <w:rFonts w:ascii="Arial" w:eastAsia="Times New Roman" w:hAnsi="Arial" w:cs="Arial"/>
                <w:color w:val="000000"/>
                <w:szCs w:val="20"/>
                <w:lang w:val="en-US"/>
              </w:rPr>
              <w:t>Large areas of heritage environmental land are affected in this MU.</w:t>
            </w:r>
          </w:p>
        </w:tc>
      </w:tr>
      <w:tr w:rsidR="00F05EE3" w:rsidRPr="00F664E3" w14:paraId="5E7811C7" w14:textId="77777777" w:rsidTr="001906FC">
        <w:trPr>
          <w:trHeight w:val="313"/>
        </w:trPr>
        <w:tc>
          <w:tcPr>
            <w:tcW w:w="3539" w:type="dxa"/>
            <w:shd w:val="clear" w:color="auto" w:fill="auto"/>
            <w:vAlign w:val="center"/>
            <w:hideMark/>
          </w:tcPr>
          <w:p w14:paraId="0DF46A13"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Environmental</w:t>
            </w:r>
          </w:p>
        </w:tc>
        <w:tc>
          <w:tcPr>
            <w:tcW w:w="1052" w:type="dxa"/>
            <w:shd w:val="clear" w:color="auto" w:fill="D9D9D9" w:themeFill="background1" w:themeFillShade="D9"/>
            <w:noWrap/>
            <w:vAlign w:val="center"/>
            <w:hideMark/>
          </w:tcPr>
          <w:p w14:paraId="74961C03" w14:textId="77777777" w:rsidR="00F05EE3" w:rsidRPr="00F664E3" w:rsidRDefault="00F05EE3" w:rsidP="009831E3">
            <w:pPr>
              <w:jc w:val="center"/>
              <w:rPr>
                <w:rFonts w:ascii="Arial" w:eastAsia="Times New Roman" w:hAnsi="Arial" w:cs="Arial"/>
                <w:b/>
                <w:bCs/>
                <w:color w:val="00B050"/>
                <w:szCs w:val="20"/>
                <w:lang w:val="en-US"/>
              </w:rPr>
            </w:pPr>
            <w:r w:rsidRPr="00F664E3">
              <w:rPr>
                <w:rFonts w:ascii="Arial" w:eastAsia="Times New Roman" w:hAnsi="Arial" w:cs="Arial"/>
                <w:b/>
                <w:bCs/>
                <w:color w:val="00B050"/>
                <w:szCs w:val="20"/>
                <w:lang w:val="en-US"/>
              </w:rPr>
              <w:t>Low</w:t>
            </w:r>
          </w:p>
        </w:tc>
        <w:tc>
          <w:tcPr>
            <w:tcW w:w="1053" w:type="dxa"/>
            <w:shd w:val="clear" w:color="auto" w:fill="D9D9D9" w:themeFill="background1" w:themeFillShade="D9"/>
            <w:noWrap/>
            <w:vAlign w:val="center"/>
            <w:hideMark/>
          </w:tcPr>
          <w:p w14:paraId="3DBD9960"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2DB1BC23"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168B5067"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7998300B" w14:textId="77777777" w:rsidR="00F05EE3" w:rsidRPr="00F664E3" w:rsidRDefault="00F05EE3" w:rsidP="009831E3">
            <w:pPr>
              <w:rPr>
                <w:rFonts w:ascii="Arial" w:eastAsia="Times New Roman" w:hAnsi="Arial" w:cs="Arial"/>
                <w:color w:val="000000"/>
                <w:szCs w:val="20"/>
                <w:lang w:val="en-US"/>
              </w:rPr>
            </w:pPr>
          </w:p>
        </w:tc>
      </w:tr>
      <w:tr w:rsidR="00F05EE3" w:rsidRPr="00F664E3" w14:paraId="2086E221" w14:textId="77777777" w:rsidTr="001906FC">
        <w:trPr>
          <w:trHeight w:val="313"/>
        </w:trPr>
        <w:tc>
          <w:tcPr>
            <w:tcW w:w="3539" w:type="dxa"/>
            <w:shd w:val="clear" w:color="auto" w:fill="auto"/>
            <w:vAlign w:val="center"/>
            <w:hideMark/>
          </w:tcPr>
          <w:p w14:paraId="3F4EDBD4" w14:textId="77777777" w:rsidR="00F05EE3" w:rsidRPr="00F664E3" w:rsidRDefault="00F05EE3" w:rsidP="009831E3">
            <w:pPr>
              <w:rPr>
                <w:rFonts w:ascii="Arial" w:eastAsia="Times New Roman" w:hAnsi="Arial" w:cs="Arial"/>
                <w:color w:val="000000"/>
                <w:szCs w:val="20"/>
                <w:lang w:val="en-US"/>
              </w:rPr>
            </w:pPr>
            <w:r w:rsidRPr="00F664E3">
              <w:rPr>
                <w:rFonts w:ascii="Arial" w:eastAsia="Times New Roman" w:hAnsi="Arial" w:cs="Arial"/>
                <w:color w:val="000000"/>
                <w:szCs w:val="20"/>
                <w:lang w:val="en-US"/>
              </w:rPr>
              <w:t>Heritage</w:t>
            </w:r>
          </w:p>
        </w:tc>
        <w:tc>
          <w:tcPr>
            <w:tcW w:w="1052" w:type="dxa"/>
            <w:shd w:val="clear" w:color="auto" w:fill="D9D9D9" w:themeFill="background1" w:themeFillShade="D9"/>
            <w:noWrap/>
            <w:vAlign w:val="center"/>
            <w:hideMark/>
          </w:tcPr>
          <w:p w14:paraId="4F543A5E"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53" w:type="dxa"/>
            <w:shd w:val="clear" w:color="auto" w:fill="D9D9D9" w:themeFill="background1" w:themeFillShade="D9"/>
            <w:noWrap/>
            <w:vAlign w:val="center"/>
            <w:hideMark/>
          </w:tcPr>
          <w:p w14:paraId="6D5006A1"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014" w:type="dxa"/>
            <w:shd w:val="clear" w:color="auto" w:fill="D9D9D9" w:themeFill="background1" w:themeFillShade="D9"/>
            <w:noWrap/>
            <w:vAlign w:val="center"/>
            <w:hideMark/>
          </w:tcPr>
          <w:p w14:paraId="321B5091"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992" w:type="dxa"/>
            <w:shd w:val="clear" w:color="auto" w:fill="D9D9D9" w:themeFill="background1" w:themeFillShade="D9"/>
            <w:noWrap/>
            <w:vAlign w:val="center"/>
            <w:hideMark/>
          </w:tcPr>
          <w:p w14:paraId="5CEE8ABD" w14:textId="77777777" w:rsidR="00F05EE3" w:rsidRPr="00F664E3" w:rsidRDefault="00F05EE3" w:rsidP="009831E3">
            <w:pPr>
              <w:jc w:val="center"/>
              <w:rPr>
                <w:rFonts w:ascii="Arial" w:eastAsia="Times New Roman" w:hAnsi="Arial" w:cs="Arial"/>
                <w:b/>
                <w:bCs/>
                <w:color w:val="FFFF00"/>
                <w:szCs w:val="20"/>
                <w:lang w:val="en-US"/>
              </w:rPr>
            </w:pPr>
            <w:r w:rsidRPr="00F664E3">
              <w:rPr>
                <w:rFonts w:ascii="Arial" w:eastAsia="Times New Roman" w:hAnsi="Arial" w:cs="Arial"/>
                <w:b/>
                <w:bCs/>
                <w:color w:val="FFFF00"/>
                <w:szCs w:val="20"/>
                <w:lang w:val="en-US"/>
              </w:rPr>
              <w:t>Medium</w:t>
            </w:r>
          </w:p>
        </w:tc>
        <w:tc>
          <w:tcPr>
            <w:tcW w:w="1978" w:type="dxa"/>
            <w:vMerge/>
            <w:vAlign w:val="center"/>
            <w:hideMark/>
          </w:tcPr>
          <w:p w14:paraId="464D5A1D" w14:textId="77777777" w:rsidR="00F05EE3" w:rsidRPr="00F664E3" w:rsidRDefault="00F05EE3" w:rsidP="009831E3">
            <w:pPr>
              <w:rPr>
                <w:rFonts w:ascii="Arial" w:eastAsia="Times New Roman" w:hAnsi="Arial" w:cs="Arial"/>
                <w:color w:val="000000"/>
                <w:szCs w:val="20"/>
                <w:lang w:val="en-US"/>
              </w:rPr>
            </w:pPr>
          </w:p>
        </w:tc>
      </w:tr>
    </w:tbl>
    <w:p w14:paraId="5F76829B" w14:textId="35575126" w:rsidR="00F05EE3" w:rsidRDefault="00F05EE3" w:rsidP="004A034B">
      <w:pPr>
        <w:pStyle w:val="ListBullet0"/>
        <w:sectPr w:rsidR="00F05EE3" w:rsidSect="00CF25FD">
          <w:headerReference w:type="even" r:id="rId40"/>
          <w:headerReference w:type="default" r:id="rId41"/>
          <w:footerReference w:type="even" r:id="rId42"/>
          <w:footerReference w:type="default" r:id="rId43"/>
          <w:headerReference w:type="first" r:id="rId44"/>
          <w:footerReference w:type="first" r:id="rId45"/>
          <w:pgSz w:w="11906" w:h="16838" w:code="9"/>
          <w:pgMar w:top="1985" w:right="1134" w:bottom="1701" w:left="1134" w:header="567" w:footer="567" w:gutter="0"/>
          <w:cols w:space="708"/>
          <w:docGrid w:linePitch="360"/>
        </w:sectPr>
      </w:pPr>
    </w:p>
    <w:p w14:paraId="4194DE8C" w14:textId="072A87E4" w:rsidR="00AF34DF" w:rsidRDefault="00AF34DF" w:rsidP="001500B6">
      <w:pPr>
        <w:pStyle w:val="Heading1"/>
      </w:pPr>
      <w:bookmarkStart w:id="163" w:name="_Ref164175251"/>
      <w:bookmarkStart w:id="164" w:name="_Toc164420881"/>
      <w:r w:rsidRPr="00792B38">
        <w:lastRenderedPageBreak/>
        <w:t>R</w:t>
      </w:r>
      <w:r>
        <w:t>isk Evaluation and Treatment</w:t>
      </w:r>
      <w:bookmarkEnd w:id="163"/>
      <w:bookmarkEnd w:id="164"/>
    </w:p>
    <w:p w14:paraId="7B56E984" w14:textId="7FF0B49F" w:rsidR="00CD4C64" w:rsidRPr="00A24B0C" w:rsidRDefault="00CD4C64" w:rsidP="00CD4C64">
      <w:pPr>
        <w:pStyle w:val="BodyText"/>
      </w:pPr>
      <w:r>
        <w:t>A</w:t>
      </w:r>
      <w:r w:rsidRPr="00CC0F64">
        <w:t xml:space="preserve"> Risk Evaluation and Treatment </w:t>
      </w:r>
      <w:r>
        <w:t xml:space="preserve">Chapter </w:t>
      </w:r>
      <w:r w:rsidRPr="00CC0F64">
        <w:t>Report</w:t>
      </w:r>
      <w:r>
        <w:t xml:space="preserve"> </w:t>
      </w:r>
      <w:r w:rsidRPr="00580FE3">
        <w:t>(</w:t>
      </w:r>
      <w:r w:rsidR="00580FE3" w:rsidRPr="00580FE3">
        <w:fldChar w:fldCharType="begin"/>
      </w:r>
      <w:r w:rsidR="00580FE3" w:rsidRPr="00580FE3">
        <w:instrText xml:space="preserve"> REF _Ref164174625 \n \h </w:instrText>
      </w:r>
      <w:r w:rsidR="00580FE3">
        <w:instrText xml:space="preserve"> \* MERGEFORMAT </w:instrText>
      </w:r>
      <w:r w:rsidR="00580FE3" w:rsidRPr="00580FE3">
        <w:fldChar w:fldCharType="separate"/>
      </w:r>
      <w:r w:rsidR="00580FE3" w:rsidRPr="00580FE3">
        <w:t>Appendix E</w:t>
      </w:r>
      <w:r w:rsidR="00580FE3" w:rsidRPr="00580FE3">
        <w:fldChar w:fldCharType="end"/>
      </w:r>
      <w:r w:rsidRPr="00580FE3">
        <w:t>)</w:t>
      </w:r>
      <w:r>
        <w:t xml:space="preserve"> was prepared,</w:t>
      </w:r>
      <w:r w:rsidRPr="00CC0F64">
        <w:t xml:space="preserve"> </w:t>
      </w:r>
      <w:r>
        <w:t xml:space="preserve">identifying risks and presenting and assessing </w:t>
      </w:r>
      <w:r w:rsidRPr="00CC0F64">
        <w:t>treatment options using multi-criteria analysis.</w:t>
      </w:r>
      <w:r>
        <w:t xml:space="preserve"> A summary is provided below.</w:t>
      </w:r>
    </w:p>
    <w:p w14:paraId="50495EFE" w14:textId="77777777" w:rsidR="00CD4C64" w:rsidRDefault="00CD4C64" w:rsidP="00CD4C64">
      <w:pPr>
        <w:pStyle w:val="Heading2"/>
        <w:numPr>
          <w:ilvl w:val="1"/>
          <w:numId w:val="14"/>
        </w:numPr>
      </w:pPr>
      <w:bookmarkStart w:id="165" w:name="_Toc152578230"/>
      <w:bookmarkStart w:id="166" w:name="_Toc164420882"/>
      <w:r>
        <w:t xml:space="preserve">Risk Evaluation - </w:t>
      </w:r>
      <w:bookmarkStart w:id="167" w:name="_Toc115686162"/>
      <w:r>
        <w:t>Priorities for Treatment</w:t>
      </w:r>
      <w:bookmarkEnd w:id="165"/>
      <w:bookmarkEnd w:id="167"/>
      <w:bookmarkEnd w:id="166"/>
    </w:p>
    <w:p w14:paraId="08DBD86F" w14:textId="7EDAD956" w:rsidR="009B0F34" w:rsidRDefault="00CD4C64" w:rsidP="009B0F34">
      <w:pPr>
        <w:pStyle w:val="BodyText"/>
      </w:pPr>
      <w:r>
        <w:t xml:space="preserve">The erosion and inundation vulnerability ratings presented in </w:t>
      </w:r>
      <w:r w:rsidR="00614E16">
        <w:t>(</w:t>
      </w:r>
      <w:r>
        <w:t>Section</w:t>
      </w:r>
      <w:r w:rsidR="00EE3192">
        <w:t xml:space="preserve"> </w:t>
      </w:r>
      <w:r w:rsidR="00EE3192">
        <w:fldChar w:fldCharType="begin"/>
      </w:r>
      <w:r w:rsidR="00EE3192">
        <w:instrText xml:space="preserve"> REF _Ref164242835 \n \h </w:instrText>
      </w:r>
      <w:r w:rsidR="00EE3192">
        <w:fldChar w:fldCharType="separate"/>
      </w:r>
      <w:r w:rsidR="00EE3192">
        <w:t>5</w:t>
      </w:r>
      <w:r w:rsidR="00EE3192">
        <w:fldChar w:fldCharType="end"/>
      </w:r>
      <w:r w:rsidR="00614E16">
        <w:t>)</w:t>
      </w:r>
      <w:r w:rsidR="00EE3192">
        <w:t xml:space="preserve"> </w:t>
      </w:r>
      <w:r>
        <w:t>were considered for each MU as a whole by averaging the vulnerability ratings of individual asset categories;</w:t>
      </w:r>
      <w:r w:rsidR="00AD6008">
        <w:t xml:space="preserve"> </w:t>
      </w:r>
      <w:r w:rsidR="00AD6008">
        <w:fldChar w:fldCharType="begin"/>
      </w:r>
      <w:r w:rsidR="00AD6008">
        <w:instrText xml:space="preserve"> REF _Ref136613997 \h </w:instrText>
      </w:r>
      <w:r w:rsidR="00AD6008">
        <w:fldChar w:fldCharType="separate"/>
      </w:r>
      <w:r w:rsidR="00594B04">
        <w:t>Table </w:t>
      </w:r>
      <w:r w:rsidR="00594B04">
        <w:rPr>
          <w:noProof/>
        </w:rPr>
        <w:t>6</w:t>
      </w:r>
      <w:r w:rsidR="00594B04">
        <w:noBreakHyphen/>
      </w:r>
      <w:r w:rsidR="00594B04">
        <w:rPr>
          <w:noProof/>
        </w:rPr>
        <w:t>1</w:t>
      </w:r>
      <w:r w:rsidR="00AD6008">
        <w:fldChar w:fldCharType="end"/>
      </w:r>
      <w:r w:rsidR="00AD6008">
        <w:t xml:space="preserve"> and </w:t>
      </w:r>
      <w:r w:rsidR="00AD6008">
        <w:fldChar w:fldCharType="begin"/>
      </w:r>
      <w:r w:rsidR="00AD6008">
        <w:instrText xml:space="preserve"> REF _Ref136614004 \h </w:instrText>
      </w:r>
      <w:r w:rsidR="00AD6008">
        <w:fldChar w:fldCharType="separate"/>
      </w:r>
      <w:r w:rsidR="00594B04">
        <w:t>Table </w:t>
      </w:r>
      <w:r w:rsidR="00594B04">
        <w:rPr>
          <w:noProof/>
        </w:rPr>
        <w:t>6</w:t>
      </w:r>
      <w:r w:rsidR="00594B04">
        <w:noBreakHyphen/>
      </w:r>
      <w:r w:rsidR="00594B04">
        <w:rPr>
          <w:noProof/>
        </w:rPr>
        <w:t>2</w:t>
      </w:r>
      <w:r w:rsidR="00AD6008">
        <w:fldChar w:fldCharType="end"/>
      </w:r>
      <w:r>
        <w:t>. All MUs at all planning horizons have unacceptable levels of vulnerability for both erosion and inundation (medium or above) for one or more asset categories, and therefore need to be considered for risk treatment options. There are greater vulnerabilities to erosion in the study area compared to inundation.</w:t>
      </w:r>
      <w:bookmarkStart w:id="168" w:name="_Toc115686164"/>
      <w:bookmarkStart w:id="169" w:name="_Toc152578231"/>
      <w:r w:rsidR="00AD6008">
        <w:t xml:space="preserve"> </w:t>
      </w:r>
      <w:r w:rsidR="009B0F34">
        <w:t xml:space="preserve">A vulnerability rating above “medium” require risk management. </w:t>
      </w:r>
    </w:p>
    <w:p w14:paraId="750ACFD2" w14:textId="44A8285C" w:rsidR="009B0F34" w:rsidRDefault="009B0F34" w:rsidP="009B0F34">
      <w:pPr>
        <w:pStyle w:val="TableCaption"/>
      </w:pPr>
      <w:bookmarkStart w:id="170" w:name="_Ref136613997"/>
      <w:bookmarkStart w:id="171" w:name="_Toc164411283"/>
      <w:r>
        <w:t>Table </w:t>
      </w:r>
      <w:r w:rsidR="008647EF">
        <w:fldChar w:fldCharType="begin"/>
      </w:r>
      <w:r w:rsidR="008647EF">
        <w:instrText xml:space="preserve"> STYLEREF 1 \s </w:instrText>
      </w:r>
      <w:r w:rsidR="008647EF">
        <w:fldChar w:fldCharType="separate"/>
      </w:r>
      <w:r w:rsidR="008647EF">
        <w:rPr>
          <w:noProof/>
        </w:rPr>
        <w:t>6</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1</w:t>
      </w:r>
      <w:r w:rsidR="008647EF">
        <w:fldChar w:fldCharType="end"/>
      </w:r>
      <w:bookmarkEnd w:id="170"/>
      <w:r>
        <w:tab/>
      </w:r>
      <w:r w:rsidRPr="003977E9">
        <w:t>Erosion vulnerability ratings by management unit &amp; planning horizon</w:t>
      </w:r>
      <w:bookmarkEnd w:id="171"/>
    </w:p>
    <w:tbl>
      <w:tblPr>
        <w:tblStyle w:val="BlueTable"/>
        <w:tblW w:w="5000" w:type="pct"/>
        <w:tblLayout w:type="fixed"/>
        <w:tblLook w:val="0620" w:firstRow="1" w:lastRow="0" w:firstColumn="0" w:lastColumn="0" w:noHBand="1" w:noVBand="1"/>
      </w:tblPr>
      <w:tblGrid>
        <w:gridCol w:w="3964"/>
        <w:gridCol w:w="1560"/>
        <w:gridCol w:w="1417"/>
        <w:gridCol w:w="1418"/>
        <w:gridCol w:w="1269"/>
      </w:tblGrid>
      <w:tr w:rsidR="009B0F34" w14:paraId="2A69CCCF" w14:textId="77777777" w:rsidTr="00153AFB">
        <w:trPr>
          <w:cnfStyle w:val="100000000000" w:firstRow="1" w:lastRow="0" w:firstColumn="0" w:lastColumn="0" w:oddVBand="0" w:evenVBand="0" w:oddHBand="0" w:evenHBand="0" w:firstRowFirstColumn="0" w:firstRowLastColumn="0" w:lastRowFirstColumn="0" w:lastRowLastColumn="0"/>
        </w:trPr>
        <w:tc>
          <w:tcPr>
            <w:tcW w:w="3964" w:type="dxa"/>
          </w:tcPr>
          <w:p w14:paraId="3AD39FA7" w14:textId="77777777" w:rsidR="009B0F34" w:rsidRDefault="009B0F34" w:rsidP="00153AFB">
            <w:pPr>
              <w:pStyle w:val="TableHeading"/>
            </w:pPr>
            <w:r w:rsidRPr="007800BC">
              <w:rPr>
                <w:rFonts w:ascii="Arial" w:eastAsia="Times New Roman" w:hAnsi="Arial" w:cs="Arial"/>
                <w:bCs/>
                <w:color w:val="FFFFFF"/>
                <w:szCs w:val="20"/>
                <w:lang w:val="en-US"/>
              </w:rPr>
              <w:t>Management Unit</w:t>
            </w:r>
          </w:p>
        </w:tc>
        <w:tc>
          <w:tcPr>
            <w:tcW w:w="1560" w:type="dxa"/>
          </w:tcPr>
          <w:p w14:paraId="63A0A6F4" w14:textId="77777777" w:rsidR="009B0F34" w:rsidRDefault="009B0F34" w:rsidP="00153AFB">
            <w:pPr>
              <w:pStyle w:val="TableHeading"/>
              <w:jc w:val="center"/>
            </w:pPr>
            <w:r>
              <w:t>2022</w:t>
            </w:r>
          </w:p>
        </w:tc>
        <w:tc>
          <w:tcPr>
            <w:tcW w:w="1417" w:type="dxa"/>
          </w:tcPr>
          <w:p w14:paraId="2531BDF4" w14:textId="77777777" w:rsidR="009B0F34" w:rsidRDefault="009B0F34" w:rsidP="00153AFB">
            <w:pPr>
              <w:pStyle w:val="TableHeading"/>
              <w:jc w:val="center"/>
            </w:pPr>
            <w:r>
              <w:t>2037</w:t>
            </w:r>
          </w:p>
        </w:tc>
        <w:tc>
          <w:tcPr>
            <w:tcW w:w="1418" w:type="dxa"/>
          </w:tcPr>
          <w:p w14:paraId="0050EEEB" w14:textId="77777777" w:rsidR="009B0F34" w:rsidRDefault="009B0F34" w:rsidP="00153AFB">
            <w:pPr>
              <w:pStyle w:val="TableHeading"/>
              <w:jc w:val="center"/>
            </w:pPr>
            <w:r>
              <w:t>2052</w:t>
            </w:r>
          </w:p>
        </w:tc>
        <w:tc>
          <w:tcPr>
            <w:tcW w:w="1269" w:type="dxa"/>
          </w:tcPr>
          <w:p w14:paraId="3BEA6678" w14:textId="77777777" w:rsidR="009B0F34" w:rsidRDefault="009B0F34" w:rsidP="00153AFB">
            <w:pPr>
              <w:pStyle w:val="TableHeading"/>
              <w:jc w:val="center"/>
            </w:pPr>
            <w:r>
              <w:t>2122</w:t>
            </w:r>
          </w:p>
        </w:tc>
      </w:tr>
      <w:tr w:rsidR="009B0F34" w14:paraId="0FD6ED7B" w14:textId="77777777" w:rsidTr="00AD6008">
        <w:tc>
          <w:tcPr>
            <w:tcW w:w="3964" w:type="dxa"/>
          </w:tcPr>
          <w:p w14:paraId="37E2E071" w14:textId="61433162" w:rsidR="009B0F34" w:rsidRDefault="009B0F34" w:rsidP="00153AFB">
            <w:pPr>
              <w:pStyle w:val="TableText"/>
            </w:pPr>
            <w:bookmarkStart w:id="172" w:name="_Hlk126524636"/>
            <w:r w:rsidRPr="007800BC">
              <w:rPr>
                <w:rFonts w:ascii="Arial" w:eastAsia="Times New Roman" w:hAnsi="Arial" w:cs="Arial"/>
                <w:b/>
                <w:bCs/>
                <w:color w:val="000000"/>
                <w:szCs w:val="20"/>
                <w:lang w:val="en-US"/>
              </w:rPr>
              <w:t>MU1</w:t>
            </w:r>
            <w:r w:rsidR="004E5FAC">
              <w:rPr>
                <w:rFonts w:ascii="Arial" w:eastAsia="Times New Roman" w:hAnsi="Arial" w:cs="Arial"/>
                <w:b/>
                <w:bCs/>
                <w:color w:val="000000"/>
                <w:szCs w:val="20"/>
                <w:lang w:val="en-US"/>
              </w:rPr>
              <w:t xml:space="preserve"> </w:t>
            </w:r>
            <w:r w:rsidRPr="007800BC">
              <w:rPr>
                <w:rFonts w:ascii="Arial" w:eastAsia="Times New Roman" w:hAnsi="Arial" w:cs="Arial"/>
                <w:b/>
                <w:bCs/>
                <w:color w:val="000000"/>
                <w:szCs w:val="20"/>
                <w:lang w:val="en-US"/>
              </w:rPr>
              <w:t>-</w:t>
            </w:r>
            <w:r w:rsidR="004E5FAC">
              <w:rPr>
                <w:rFonts w:ascii="Arial" w:eastAsia="Times New Roman" w:hAnsi="Arial" w:cs="Arial"/>
                <w:b/>
                <w:bCs/>
                <w:color w:val="000000"/>
                <w:szCs w:val="20"/>
                <w:lang w:val="en-US"/>
              </w:rPr>
              <w:t xml:space="preserve"> </w:t>
            </w:r>
            <w:r w:rsidRPr="007800BC">
              <w:rPr>
                <w:rFonts w:ascii="Arial" w:eastAsia="Times New Roman" w:hAnsi="Arial" w:cs="Arial"/>
                <w:b/>
                <w:bCs/>
                <w:color w:val="000000"/>
                <w:szCs w:val="20"/>
                <w:lang w:val="en-US"/>
              </w:rPr>
              <w:t>Point King to Melville point</w:t>
            </w:r>
          </w:p>
        </w:tc>
        <w:tc>
          <w:tcPr>
            <w:tcW w:w="1560" w:type="dxa"/>
            <w:shd w:val="clear" w:color="auto" w:fill="D9D9D9" w:themeFill="background1" w:themeFillShade="D9"/>
          </w:tcPr>
          <w:p w14:paraId="15C90E38"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c>
          <w:tcPr>
            <w:tcW w:w="1417" w:type="dxa"/>
            <w:shd w:val="clear" w:color="auto" w:fill="D9D9D9" w:themeFill="background1" w:themeFillShade="D9"/>
          </w:tcPr>
          <w:p w14:paraId="5D33328A"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c>
          <w:tcPr>
            <w:tcW w:w="1418" w:type="dxa"/>
            <w:shd w:val="clear" w:color="auto" w:fill="D9D9D9" w:themeFill="background1" w:themeFillShade="D9"/>
          </w:tcPr>
          <w:p w14:paraId="1026BAD1"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c>
          <w:tcPr>
            <w:tcW w:w="1269" w:type="dxa"/>
            <w:shd w:val="clear" w:color="auto" w:fill="D9D9D9" w:themeFill="background1" w:themeFillShade="D9"/>
          </w:tcPr>
          <w:p w14:paraId="38D99FDF" w14:textId="77777777" w:rsidR="009B0F34" w:rsidRDefault="009B0F34" w:rsidP="00153AFB">
            <w:pPr>
              <w:pStyle w:val="TableText"/>
              <w:jc w:val="center"/>
            </w:pPr>
            <w:r w:rsidRPr="007800BC">
              <w:rPr>
                <w:rFonts w:ascii="Arial" w:eastAsia="Times New Roman" w:hAnsi="Arial" w:cs="Arial"/>
                <w:b/>
                <w:bCs/>
                <w:color w:val="FF0000"/>
                <w:szCs w:val="20"/>
                <w:lang w:val="en-US"/>
              </w:rPr>
              <w:t>Extreme</w:t>
            </w:r>
          </w:p>
        </w:tc>
      </w:tr>
      <w:tr w:rsidR="009B0F34" w14:paraId="01602E78" w14:textId="77777777" w:rsidTr="00AD6008">
        <w:tc>
          <w:tcPr>
            <w:tcW w:w="3964" w:type="dxa"/>
          </w:tcPr>
          <w:p w14:paraId="43613564" w14:textId="77777777" w:rsidR="009B0F34" w:rsidRDefault="009B0F34" w:rsidP="00153AFB">
            <w:pPr>
              <w:pStyle w:val="TableText"/>
            </w:pPr>
            <w:r w:rsidRPr="007800BC">
              <w:rPr>
                <w:rFonts w:ascii="Arial" w:eastAsia="Times New Roman" w:hAnsi="Arial" w:cs="Arial"/>
                <w:b/>
                <w:bCs/>
                <w:color w:val="000000"/>
                <w:szCs w:val="20"/>
                <w:lang w:val="en-US"/>
              </w:rPr>
              <w:t>MU2 - Melville Point to Rushy Point</w:t>
            </w:r>
          </w:p>
        </w:tc>
        <w:tc>
          <w:tcPr>
            <w:tcW w:w="1560" w:type="dxa"/>
            <w:shd w:val="clear" w:color="auto" w:fill="D9D9D9" w:themeFill="background1" w:themeFillShade="D9"/>
          </w:tcPr>
          <w:p w14:paraId="034A0F87"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c>
          <w:tcPr>
            <w:tcW w:w="1417" w:type="dxa"/>
            <w:shd w:val="clear" w:color="auto" w:fill="D9D9D9" w:themeFill="background1" w:themeFillShade="D9"/>
          </w:tcPr>
          <w:p w14:paraId="4B426B7C"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c>
          <w:tcPr>
            <w:tcW w:w="1418" w:type="dxa"/>
            <w:shd w:val="clear" w:color="auto" w:fill="D9D9D9" w:themeFill="background1" w:themeFillShade="D9"/>
          </w:tcPr>
          <w:p w14:paraId="4E224BCA" w14:textId="77777777" w:rsidR="009B0F34" w:rsidRDefault="009B0F34" w:rsidP="00153AFB">
            <w:pPr>
              <w:pStyle w:val="TableText"/>
              <w:jc w:val="center"/>
            </w:pPr>
            <w:r w:rsidRPr="007800BC">
              <w:rPr>
                <w:rFonts w:ascii="Arial" w:eastAsia="Times New Roman" w:hAnsi="Arial" w:cs="Arial"/>
                <w:b/>
                <w:bCs/>
                <w:color w:val="FF0000"/>
                <w:szCs w:val="20"/>
                <w:lang w:val="en-US"/>
              </w:rPr>
              <w:t>Extreme</w:t>
            </w:r>
          </w:p>
        </w:tc>
        <w:tc>
          <w:tcPr>
            <w:tcW w:w="1269" w:type="dxa"/>
            <w:shd w:val="clear" w:color="auto" w:fill="D9D9D9" w:themeFill="background1" w:themeFillShade="D9"/>
          </w:tcPr>
          <w:p w14:paraId="14C269C4" w14:textId="77777777" w:rsidR="009B0F34" w:rsidRDefault="009B0F34" w:rsidP="00153AFB">
            <w:pPr>
              <w:pStyle w:val="TableText"/>
              <w:jc w:val="center"/>
            </w:pPr>
            <w:r w:rsidRPr="007800BC">
              <w:rPr>
                <w:rFonts w:ascii="Arial" w:eastAsia="Times New Roman" w:hAnsi="Arial" w:cs="Arial"/>
                <w:b/>
                <w:bCs/>
                <w:color w:val="FF0000"/>
                <w:szCs w:val="20"/>
                <w:lang w:val="en-US"/>
              </w:rPr>
              <w:t>Extreme</w:t>
            </w:r>
          </w:p>
        </w:tc>
      </w:tr>
      <w:tr w:rsidR="009B0F34" w14:paraId="66825422" w14:textId="77777777" w:rsidTr="00AD6008">
        <w:tc>
          <w:tcPr>
            <w:tcW w:w="3964" w:type="dxa"/>
          </w:tcPr>
          <w:p w14:paraId="61E34FCA" w14:textId="77777777" w:rsidR="009B0F34" w:rsidRDefault="009B0F34" w:rsidP="00153AFB">
            <w:pPr>
              <w:pStyle w:val="TableText"/>
            </w:pPr>
            <w:r w:rsidRPr="007800BC">
              <w:rPr>
                <w:rFonts w:ascii="Arial" w:eastAsia="Times New Roman" w:hAnsi="Arial" w:cs="Arial"/>
                <w:b/>
                <w:bCs/>
                <w:color w:val="000000"/>
                <w:szCs w:val="20"/>
                <w:lang w:val="en-US"/>
              </w:rPr>
              <w:t>MU3 - Rushy Point to Limekilns Point</w:t>
            </w:r>
          </w:p>
        </w:tc>
        <w:tc>
          <w:tcPr>
            <w:tcW w:w="1560" w:type="dxa"/>
            <w:shd w:val="clear" w:color="auto" w:fill="D9D9D9" w:themeFill="background1" w:themeFillShade="D9"/>
          </w:tcPr>
          <w:p w14:paraId="6878D9F0"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c>
          <w:tcPr>
            <w:tcW w:w="1417" w:type="dxa"/>
            <w:shd w:val="clear" w:color="auto" w:fill="D9D9D9" w:themeFill="background1" w:themeFillShade="D9"/>
          </w:tcPr>
          <w:p w14:paraId="7F4DC485" w14:textId="77777777" w:rsidR="009B0F34" w:rsidRDefault="009B0F34" w:rsidP="00153AFB">
            <w:pPr>
              <w:pStyle w:val="TableText"/>
              <w:jc w:val="center"/>
            </w:pPr>
            <w:r w:rsidRPr="007800BC">
              <w:rPr>
                <w:rFonts w:ascii="Arial" w:eastAsia="Times New Roman" w:hAnsi="Arial" w:cs="Arial"/>
                <w:b/>
                <w:bCs/>
                <w:color w:val="FF0000"/>
                <w:szCs w:val="20"/>
                <w:lang w:val="en-US"/>
              </w:rPr>
              <w:t>Extreme</w:t>
            </w:r>
          </w:p>
        </w:tc>
        <w:tc>
          <w:tcPr>
            <w:tcW w:w="1418" w:type="dxa"/>
            <w:shd w:val="clear" w:color="auto" w:fill="D9D9D9" w:themeFill="background1" w:themeFillShade="D9"/>
          </w:tcPr>
          <w:p w14:paraId="65791794" w14:textId="77777777" w:rsidR="009B0F34" w:rsidRDefault="009B0F34" w:rsidP="00153AFB">
            <w:pPr>
              <w:pStyle w:val="TableText"/>
              <w:jc w:val="center"/>
            </w:pPr>
            <w:r w:rsidRPr="007800BC">
              <w:rPr>
                <w:rFonts w:ascii="Arial" w:eastAsia="Times New Roman" w:hAnsi="Arial" w:cs="Arial"/>
                <w:b/>
                <w:bCs/>
                <w:color w:val="FF0000"/>
                <w:szCs w:val="20"/>
                <w:lang w:val="en-US"/>
              </w:rPr>
              <w:t>Extreme</w:t>
            </w:r>
          </w:p>
        </w:tc>
        <w:tc>
          <w:tcPr>
            <w:tcW w:w="1269" w:type="dxa"/>
            <w:shd w:val="clear" w:color="auto" w:fill="D9D9D9" w:themeFill="background1" w:themeFillShade="D9"/>
          </w:tcPr>
          <w:p w14:paraId="718A6CF1" w14:textId="77777777" w:rsidR="009B0F34" w:rsidRDefault="009B0F34" w:rsidP="00153AFB">
            <w:pPr>
              <w:pStyle w:val="TableText"/>
              <w:jc w:val="center"/>
            </w:pPr>
            <w:r w:rsidRPr="007800BC">
              <w:rPr>
                <w:rFonts w:ascii="Arial" w:eastAsia="Times New Roman" w:hAnsi="Arial" w:cs="Arial"/>
                <w:b/>
                <w:bCs/>
                <w:color w:val="FF0000"/>
                <w:szCs w:val="20"/>
                <w:lang w:val="en-US"/>
              </w:rPr>
              <w:t>Extreme</w:t>
            </w:r>
          </w:p>
        </w:tc>
      </w:tr>
      <w:tr w:rsidR="009B0F34" w14:paraId="63F1BA66" w14:textId="77777777" w:rsidTr="00AD6008">
        <w:tc>
          <w:tcPr>
            <w:tcW w:w="3964" w:type="dxa"/>
          </w:tcPr>
          <w:p w14:paraId="30E27C7C" w14:textId="77777777" w:rsidR="009B0F34" w:rsidRDefault="009B0F34" w:rsidP="00153AFB">
            <w:pPr>
              <w:pStyle w:val="TableText"/>
            </w:pPr>
            <w:r w:rsidRPr="007800BC">
              <w:rPr>
                <w:rFonts w:ascii="Arial" w:eastAsia="Times New Roman" w:hAnsi="Arial" w:cs="Arial"/>
                <w:b/>
                <w:bCs/>
                <w:color w:val="000000"/>
                <w:szCs w:val="20"/>
                <w:lang w:val="en-US"/>
              </w:rPr>
              <w:t>MU4 - Limekilns Point to Geake Point</w:t>
            </w:r>
          </w:p>
        </w:tc>
        <w:tc>
          <w:tcPr>
            <w:tcW w:w="1560" w:type="dxa"/>
            <w:shd w:val="clear" w:color="auto" w:fill="D9D9D9" w:themeFill="background1" w:themeFillShade="D9"/>
          </w:tcPr>
          <w:p w14:paraId="7BCE7C9B"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c>
          <w:tcPr>
            <w:tcW w:w="1417" w:type="dxa"/>
            <w:shd w:val="clear" w:color="auto" w:fill="D9D9D9" w:themeFill="background1" w:themeFillShade="D9"/>
          </w:tcPr>
          <w:p w14:paraId="3B8F452A"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c>
          <w:tcPr>
            <w:tcW w:w="1418" w:type="dxa"/>
            <w:shd w:val="clear" w:color="auto" w:fill="D9D9D9" w:themeFill="background1" w:themeFillShade="D9"/>
          </w:tcPr>
          <w:p w14:paraId="025D23AB"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c>
          <w:tcPr>
            <w:tcW w:w="1269" w:type="dxa"/>
            <w:shd w:val="clear" w:color="auto" w:fill="D9D9D9" w:themeFill="background1" w:themeFillShade="D9"/>
          </w:tcPr>
          <w:p w14:paraId="4A2E0E91" w14:textId="77777777" w:rsidR="009B0F34" w:rsidRDefault="009B0F34" w:rsidP="00153AFB">
            <w:pPr>
              <w:pStyle w:val="TableText"/>
              <w:jc w:val="center"/>
            </w:pPr>
            <w:r w:rsidRPr="007800BC">
              <w:rPr>
                <w:rFonts w:ascii="Arial" w:eastAsia="Times New Roman" w:hAnsi="Arial" w:cs="Arial"/>
                <w:b/>
                <w:bCs/>
                <w:color w:val="FF0000"/>
                <w:szCs w:val="20"/>
                <w:lang w:val="en-US"/>
              </w:rPr>
              <w:t>Extreme</w:t>
            </w:r>
          </w:p>
        </w:tc>
      </w:tr>
      <w:tr w:rsidR="009B0F34" w14:paraId="4F5D4C28" w14:textId="77777777" w:rsidTr="00AD6008">
        <w:tc>
          <w:tcPr>
            <w:tcW w:w="3964" w:type="dxa"/>
          </w:tcPr>
          <w:p w14:paraId="4B88D736" w14:textId="1D16999E" w:rsidR="009B0F34" w:rsidRDefault="009B0F34" w:rsidP="00153AFB">
            <w:pPr>
              <w:pStyle w:val="TableText"/>
            </w:pPr>
            <w:r w:rsidRPr="007800BC">
              <w:rPr>
                <w:rFonts w:ascii="Arial" w:eastAsia="Times New Roman" w:hAnsi="Arial" w:cs="Arial"/>
                <w:b/>
                <w:bCs/>
                <w:color w:val="000000"/>
                <w:szCs w:val="20"/>
                <w:lang w:val="en-US"/>
              </w:rPr>
              <w:t xml:space="preserve">MU5 - Geake Point to </w:t>
            </w:r>
            <w:r w:rsidR="00AD6008">
              <w:rPr>
                <w:rFonts w:ascii="Arial" w:eastAsia="Times New Roman" w:hAnsi="Arial" w:cs="Arial"/>
                <w:b/>
                <w:bCs/>
                <w:color w:val="000000"/>
                <w:szCs w:val="20"/>
                <w:lang w:val="en-US"/>
              </w:rPr>
              <w:t xml:space="preserve">Point </w:t>
            </w:r>
            <w:r w:rsidR="00AD6008" w:rsidRPr="00F664E3">
              <w:rPr>
                <w:rFonts w:ascii="Arial" w:eastAsia="Times New Roman" w:hAnsi="Arial" w:cs="Arial"/>
                <w:b/>
                <w:bCs/>
                <w:color w:val="000000"/>
                <w:szCs w:val="20"/>
                <w:lang w:val="en-US"/>
              </w:rPr>
              <w:t xml:space="preserve">Possession </w:t>
            </w:r>
            <w:r w:rsidR="00AD6008">
              <w:rPr>
                <w:rFonts w:ascii="Arial" w:eastAsia="Times New Roman" w:hAnsi="Arial" w:cs="Arial"/>
                <w:b/>
                <w:bCs/>
                <w:color w:val="000000"/>
                <w:szCs w:val="20"/>
                <w:lang w:val="en-US"/>
              </w:rPr>
              <w:t xml:space="preserve">/ Uredale </w:t>
            </w:r>
            <w:r w:rsidR="00AD6008" w:rsidRPr="00F664E3">
              <w:rPr>
                <w:rFonts w:ascii="Arial" w:eastAsia="Times New Roman" w:hAnsi="Arial" w:cs="Arial"/>
                <w:b/>
                <w:bCs/>
                <w:color w:val="000000"/>
                <w:szCs w:val="20"/>
                <w:lang w:val="en-US"/>
              </w:rPr>
              <w:t>Point</w:t>
            </w:r>
          </w:p>
        </w:tc>
        <w:tc>
          <w:tcPr>
            <w:tcW w:w="1560" w:type="dxa"/>
            <w:shd w:val="clear" w:color="auto" w:fill="D9D9D9" w:themeFill="background1" w:themeFillShade="D9"/>
          </w:tcPr>
          <w:p w14:paraId="5BB50BA1"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c>
          <w:tcPr>
            <w:tcW w:w="1417" w:type="dxa"/>
            <w:shd w:val="clear" w:color="auto" w:fill="D9D9D9" w:themeFill="background1" w:themeFillShade="D9"/>
          </w:tcPr>
          <w:p w14:paraId="4B8C1799"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c>
          <w:tcPr>
            <w:tcW w:w="1418" w:type="dxa"/>
            <w:shd w:val="clear" w:color="auto" w:fill="D9D9D9" w:themeFill="background1" w:themeFillShade="D9"/>
          </w:tcPr>
          <w:p w14:paraId="587228F0" w14:textId="77777777" w:rsidR="009B0F34" w:rsidRDefault="009B0F34" w:rsidP="00153AFB">
            <w:pPr>
              <w:pStyle w:val="TableText"/>
              <w:jc w:val="center"/>
            </w:pPr>
            <w:r w:rsidRPr="007800BC">
              <w:rPr>
                <w:rFonts w:ascii="Arial" w:eastAsia="Times New Roman" w:hAnsi="Arial" w:cs="Arial"/>
                <w:b/>
                <w:bCs/>
                <w:color w:val="FF0000"/>
                <w:szCs w:val="20"/>
                <w:lang w:val="en-US"/>
              </w:rPr>
              <w:t>Extreme</w:t>
            </w:r>
          </w:p>
        </w:tc>
        <w:tc>
          <w:tcPr>
            <w:tcW w:w="1269" w:type="dxa"/>
            <w:shd w:val="clear" w:color="auto" w:fill="D9D9D9" w:themeFill="background1" w:themeFillShade="D9"/>
          </w:tcPr>
          <w:p w14:paraId="2E996FA8" w14:textId="77777777" w:rsidR="009B0F34" w:rsidRDefault="009B0F34" w:rsidP="00153AFB">
            <w:pPr>
              <w:pStyle w:val="TableText"/>
              <w:jc w:val="center"/>
            </w:pPr>
            <w:r w:rsidRPr="007800BC">
              <w:rPr>
                <w:rFonts w:ascii="Arial" w:eastAsia="Times New Roman" w:hAnsi="Arial" w:cs="Arial"/>
                <w:b/>
                <w:bCs/>
                <w:color w:val="FF0000"/>
                <w:szCs w:val="20"/>
                <w:lang w:val="en-US"/>
              </w:rPr>
              <w:t>Extreme</w:t>
            </w:r>
          </w:p>
        </w:tc>
      </w:tr>
    </w:tbl>
    <w:p w14:paraId="25850DF9" w14:textId="61C678B6" w:rsidR="009B0F34" w:rsidRDefault="009B0F34" w:rsidP="009B0F34">
      <w:pPr>
        <w:pStyle w:val="TableCaption"/>
      </w:pPr>
      <w:bookmarkStart w:id="173" w:name="_Ref136614004"/>
      <w:bookmarkStart w:id="174" w:name="_Toc164411284"/>
      <w:bookmarkEnd w:id="172"/>
      <w:r>
        <w:t>Table </w:t>
      </w:r>
      <w:r w:rsidR="008647EF">
        <w:fldChar w:fldCharType="begin"/>
      </w:r>
      <w:r w:rsidR="008647EF">
        <w:instrText xml:space="preserve"> STYLEREF 1 \s </w:instrText>
      </w:r>
      <w:r w:rsidR="008647EF">
        <w:fldChar w:fldCharType="separate"/>
      </w:r>
      <w:r w:rsidR="008647EF">
        <w:rPr>
          <w:noProof/>
        </w:rPr>
        <w:t>6</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2</w:t>
      </w:r>
      <w:r w:rsidR="008647EF">
        <w:fldChar w:fldCharType="end"/>
      </w:r>
      <w:bookmarkEnd w:id="173"/>
      <w:r>
        <w:tab/>
        <w:t>Inundation</w:t>
      </w:r>
      <w:r w:rsidRPr="003977E9">
        <w:t xml:space="preserve"> vulnerability ratings by management unit &amp; planning horizon</w:t>
      </w:r>
      <w:bookmarkEnd w:id="174"/>
    </w:p>
    <w:tbl>
      <w:tblPr>
        <w:tblStyle w:val="BlueTable"/>
        <w:tblW w:w="5000" w:type="pct"/>
        <w:tblLayout w:type="fixed"/>
        <w:tblLook w:val="0620" w:firstRow="1" w:lastRow="0" w:firstColumn="0" w:lastColumn="0" w:noHBand="1" w:noVBand="1"/>
      </w:tblPr>
      <w:tblGrid>
        <w:gridCol w:w="3964"/>
        <w:gridCol w:w="1560"/>
        <w:gridCol w:w="1417"/>
        <w:gridCol w:w="1418"/>
        <w:gridCol w:w="1269"/>
      </w:tblGrid>
      <w:tr w:rsidR="009B0F34" w14:paraId="70B32CAA" w14:textId="77777777" w:rsidTr="00153AFB">
        <w:trPr>
          <w:cnfStyle w:val="100000000000" w:firstRow="1" w:lastRow="0" w:firstColumn="0" w:lastColumn="0" w:oddVBand="0" w:evenVBand="0" w:oddHBand="0" w:evenHBand="0" w:firstRowFirstColumn="0" w:firstRowLastColumn="0" w:lastRowFirstColumn="0" w:lastRowLastColumn="0"/>
          <w:trHeight w:val="353"/>
        </w:trPr>
        <w:tc>
          <w:tcPr>
            <w:tcW w:w="3964" w:type="dxa"/>
          </w:tcPr>
          <w:p w14:paraId="7C75DFD9" w14:textId="77777777" w:rsidR="009B0F34" w:rsidRDefault="009B0F34" w:rsidP="00153AFB">
            <w:pPr>
              <w:pStyle w:val="TableHeading"/>
            </w:pPr>
            <w:r w:rsidRPr="007800BC">
              <w:rPr>
                <w:rFonts w:ascii="Arial" w:eastAsia="Times New Roman" w:hAnsi="Arial" w:cs="Arial"/>
                <w:bCs/>
                <w:color w:val="FFFFFF"/>
                <w:szCs w:val="20"/>
                <w:lang w:val="en-US"/>
              </w:rPr>
              <w:t>Management Unit</w:t>
            </w:r>
          </w:p>
        </w:tc>
        <w:tc>
          <w:tcPr>
            <w:tcW w:w="1560" w:type="dxa"/>
          </w:tcPr>
          <w:p w14:paraId="5119723B" w14:textId="77777777" w:rsidR="009B0F34" w:rsidRDefault="009B0F34" w:rsidP="00153AFB">
            <w:pPr>
              <w:pStyle w:val="TableHeading"/>
              <w:jc w:val="center"/>
            </w:pPr>
            <w:r>
              <w:t>2022</w:t>
            </w:r>
          </w:p>
        </w:tc>
        <w:tc>
          <w:tcPr>
            <w:tcW w:w="1417" w:type="dxa"/>
          </w:tcPr>
          <w:p w14:paraId="58401893" w14:textId="77777777" w:rsidR="009B0F34" w:rsidRDefault="009B0F34" w:rsidP="00153AFB">
            <w:pPr>
              <w:pStyle w:val="TableHeading"/>
              <w:jc w:val="center"/>
            </w:pPr>
            <w:r>
              <w:t>2037</w:t>
            </w:r>
          </w:p>
        </w:tc>
        <w:tc>
          <w:tcPr>
            <w:tcW w:w="1418" w:type="dxa"/>
          </w:tcPr>
          <w:p w14:paraId="2DFBA2C2" w14:textId="77777777" w:rsidR="009B0F34" w:rsidRDefault="009B0F34" w:rsidP="00153AFB">
            <w:pPr>
              <w:pStyle w:val="TableHeading"/>
              <w:jc w:val="center"/>
            </w:pPr>
            <w:r>
              <w:t>2052</w:t>
            </w:r>
          </w:p>
        </w:tc>
        <w:tc>
          <w:tcPr>
            <w:tcW w:w="1269" w:type="dxa"/>
          </w:tcPr>
          <w:p w14:paraId="299FC0C6" w14:textId="77777777" w:rsidR="009B0F34" w:rsidRDefault="009B0F34" w:rsidP="00153AFB">
            <w:pPr>
              <w:pStyle w:val="TableHeading"/>
              <w:jc w:val="center"/>
            </w:pPr>
            <w:r>
              <w:t>2122</w:t>
            </w:r>
          </w:p>
        </w:tc>
      </w:tr>
      <w:tr w:rsidR="009B0F34" w14:paraId="07D74C1D" w14:textId="77777777" w:rsidTr="00AD6008">
        <w:trPr>
          <w:trHeight w:val="445"/>
        </w:trPr>
        <w:tc>
          <w:tcPr>
            <w:tcW w:w="3964" w:type="dxa"/>
          </w:tcPr>
          <w:p w14:paraId="24C57390" w14:textId="15B2F893" w:rsidR="009B0F34" w:rsidRDefault="009B0F34" w:rsidP="00153AFB">
            <w:pPr>
              <w:pStyle w:val="TableText"/>
            </w:pPr>
            <w:r w:rsidRPr="007800BC">
              <w:rPr>
                <w:rFonts w:ascii="Arial" w:eastAsia="Times New Roman" w:hAnsi="Arial" w:cs="Arial"/>
                <w:b/>
                <w:bCs/>
                <w:color w:val="000000"/>
                <w:szCs w:val="20"/>
                <w:lang w:val="en-US"/>
              </w:rPr>
              <w:t>MU1</w:t>
            </w:r>
            <w:r w:rsidR="004E5FAC">
              <w:rPr>
                <w:rFonts w:ascii="Arial" w:eastAsia="Times New Roman" w:hAnsi="Arial" w:cs="Arial"/>
                <w:b/>
                <w:bCs/>
                <w:color w:val="000000"/>
                <w:szCs w:val="20"/>
                <w:lang w:val="en-US"/>
              </w:rPr>
              <w:t xml:space="preserve"> </w:t>
            </w:r>
            <w:r w:rsidRPr="007800BC">
              <w:rPr>
                <w:rFonts w:ascii="Arial" w:eastAsia="Times New Roman" w:hAnsi="Arial" w:cs="Arial"/>
                <w:b/>
                <w:bCs/>
                <w:color w:val="000000"/>
                <w:szCs w:val="20"/>
                <w:lang w:val="en-US"/>
              </w:rPr>
              <w:t>-</w:t>
            </w:r>
            <w:r w:rsidR="004E5FAC">
              <w:rPr>
                <w:rFonts w:ascii="Arial" w:eastAsia="Times New Roman" w:hAnsi="Arial" w:cs="Arial"/>
                <w:b/>
                <w:bCs/>
                <w:color w:val="000000"/>
                <w:szCs w:val="20"/>
                <w:lang w:val="en-US"/>
              </w:rPr>
              <w:t xml:space="preserve"> </w:t>
            </w:r>
            <w:r w:rsidRPr="007800BC">
              <w:rPr>
                <w:rFonts w:ascii="Arial" w:eastAsia="Times New Roman" w:hAnsi="Arial" w:cs="Arial"/>
                <w:b/>
                <w:bCs/>
                <w:color w:val="000000"/>
                <w:szCs w:val="20"/>
                <w:lang w:val="en-US"/>
              </w:rPr>
              <w:t>Point King to Melville point</w:t>
            </w:r>
          </w:p>
        </w:tc>
        <w:tc>
          <w:tcPr>
            <w:tcW w:w="1560" w:type="dxa"/>
            <w:shd w:val="clear" w:color="auto" w:fill="D9D9D9" w:themeFill="background1" w:themeFillShade="D9"/>
          </w:tcPr>
          <w:p w14:paraId="45EF3441"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417" w:type="dxa"/>
            <w:shd w:val="clear" w:color="auto" w:fill="D9D9D9" w:themeFill="background1" w:themeFillShade="D9"/>
          </w:tcPr>
          <w:p w14:paraId="04B46C65"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418" w:type="dxa"/>
            <w:shd w:val="clear" w:color="auto" w:fill="D9D9D9" w:themeFill="background1" w:themeFillShade="D9"/>
          </w:tcPr>
          <w:p w14:paraId="18AF1CCF"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269" w:type="dxa"/>
            <w:shd w:val="clear" w:color="auto" w:fill="D9D9D9" w:themeFill="background1" w:themeFillShade="D9"/>
          </w:tcPr>
          <w:p w14:paraId="10F0FAEF"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r>
      <w:tr w:rsidR="009B0F34" w14:paraId="34F3F0C3" w14:textId="77777777" w:rsidTr="00AD6008">
        <w:trPr>
          <w:trHeight w:val="409"/>
        </w:trPr>
        <w:tc>
          <w:tcPr>
            <w:tcW w:w="3964" w:type="dxa"/>
          </w:tcPr>
          <w:p w14:paraId="698FAB3B" w14:textId="77777777" w:rsidR="009B0F34" w:rsidRDefault="009B0F34" w:rsidP="00153AFB">
            <w:pPr>
              <w:pStyle w:val="TableText"/>
            </w:pPr>
            <w:r w:rsidRPr="007800BC">
              <w:rPr>
                <w:rFonts w:ascii="Arial" w:eastAsia="Times New Roman" w:hAnsi="Arial" w:cs="Arial"/>
                <w:b/>
                <w:bCs/>
                <w:color w:val="000000"/>
                <w:szCs w:val="20"/>
                <w:lang w:val="en-US"/>
              </w:rPr>
              <w:t>MU2 - Melville Point to Rushy Point</w:t>
            </w:r>
          </w:p>
        </w:tc>
        <w:tc>
          <w:tcPr>
            <w:tcW w:w="1560" w:type="dxa"/>
            <w:shd w:val="clear" w:color="auto" w:fill="D9D9D9" w:themeFill="background1" w:themeFillShade="D9"/>
          </w:tcPr>
          <w:p w14:paraId="47A8E733"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417" w:type="dxa"/>
            <w:shd w:val="clear" w:color="auto" w:fill="D9D9D9" w:themeFill="background1" w:themeFillShade="D9"/>
          </w:tcPr>
          <w:p w14:paraId="35BA7787"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418" w:type="dxa"/>
            <w:shd w:val="clear" w:color="auto" w:fill="D9D9D9" w:themeFill="background1" w:themeFillShade="D9"/>
          </w:tcPr>
          <w:p w14:paraId="4D885461"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269" w:type="dxa"/>
            <w:shd w:val="clear" w:color="auto" w:fill="D9D9D9" w:themeFill="background1" w:themeFillShade="D9"/>
          </w:tcPr>
          <w:p w14:paraId="0219DB05"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r>
      <w:tr w:rsidR="009B0F34" w14:paraId="6EAC3D99" w14:textId="77777777" w:rsidTr="00AD6008">
        <w:trPr>
          <w:trHeight w:val="415"/>
        </w:trPr>
        <w:tc>
          <w:tcPr>
            <w:tcW w:w="3964" w:type="dxa"/>
          </w:tcPr>
          <w:p w14:paraId="0D682730" w14:textId="77777777" w:rsidR="009B0F34" w:rsidRDefault="009B0F34" w:rsidP="00153AFB">
            <w:pPr>
              <w:pStyle w:val="TableText"/>
            </w:pPr>
            <w:r w:rsidRPr="007800BC">
              <w:rPr>
                <w:rFonts w:ascii="Arial" w:eastAsia="Times New Roman" w:hAnsi="Arial" w:cs="Arial"/>
                <w:b/>
                <w:bCs/>
                <w:color w:val="000000"/>
                <w:szCs w:val="20"/>
                <w:lang w:val="en-US"/>
              </w:rPr>
              <w:t>MU3 - Rushy Point to Limekilns Point</w:t>
            </w:r>
          </w:p>
        </w:tc>
        <w:tc>
          <w:tcPr>
            <w:tcW w:w="1560" w:type="dxa"/>
            <w:shd w:val="clear" w:color="auto" w:fill="D9D9D9" w:themeFill="background1" w:themeFillShade="D9"/>
          </w:tcPr>
          <w:p w14:paraId="6FB40559"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417" w:type="dxa"/>
            <w:shd w:val="clear" w:color="auto" w:fill="D9D9D9" w:themeFill="background1" w:themeFillShade="D9"/>
          </w:tcPr>
          <w:p w14:paraId="683E07EA"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418" w:type="dxa"/>
            <w:shd w:val="clear" w:color="auto" w:fill="D9D9D9" w:themeFill="background1" w:themeFillShade="D9"/>
          </w:tcPr>
          <w:p w14:paraId="2EC27B18"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269" w:type="dxa"/>
            <w:shd w:val="clear" w:color="auto" w:fill="D9D9D9" w:themeFill="background1" w:themeFillShade="D9"/>
          </w:tcPr>
          <w:p w14:paraId="75F90E73"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r>
      <w:tr w:rsidR="009B0F34" w14:paraId="21A4EA06" w14:textId="77777777" w:rsidTr="00AD6008">
        <w:trPr>
          <w:trHeight w:val="420"/>
        </w:trPr>
        <w:tc>
          <w:tcPr>
            <w:tcW w:w="3964" w:type="dxa"/>
          </w:tcPr>
          <w:p w14:paraId="60C3FF1B" w14:textId="77777777" w:rsidR="009B0F34" w:rsidRDefault="009B0F34" w:rsidP="00153AFB">
            <w:pPr>
              <w:pStyle w:val="TableText"/>
            </w:pPr>
            <w:r w:rsidRPr="007800BC">
              <w:rPr>
                <w:rFonts w:ascii="Arial" w:eastAsia="Times New Roman" w:hAnsi="Arial" w:cs="Arial"/>
                <w:b/>
                <w:bCs/>
                <w:color w:val="000000"/>
                <w:szCs w:val="20"/>
                <w:lang w:val="en-US"/>
              </w:rPr>
              <w:t>MU4 - Limekilns Point to Geake Point</w:t>
            </w:r>
          </w:p>
        </w:tc>
        <w:tc>
          <w:tcPr>
            <w:tcW w:w="1560" w:type="dxa"/>
            <w:shd w:val="clear" w:color="auto" w:fill="D9D9D9" w:themeFill="background1" w:themeFillShade="D9"/>
          </w:tcPr>
          <w:p w14:paraId="5A1E97A2"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417" w:type="dxa"/>
            <w:shd w:val="clear" w:color="auto" w:fill="D9D9D9" w:themeFill="background1" w:themeFillShade="D9"/>
          </w:tcPr>
          <w:p w14:paraId="62AC001C"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418" w:type="dxa"/>
            <w:shd w:val="clear" w:color="auto" w:fill="D9D9D9" w:themeFill="background1" w:themeFillShade="D9"/>
          </w:tcPr>
          <w:p w14:paraId="7B8D1F57"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269" w:type="dxa"/>
            <w:shd w:val="clear" w:color="auto" w:fill="D9D9D9" w:themeFill="background1" w:themeFillShade="D9"/>
          </w:tcPr>
          <w:p w14:paraId="6FF83F65" w14:textId="77777777" w:rsidR="009B0F34" w:rsidRDefault="009B0F34" w:rsidP="00153AFB">
            <w:pPr>
              <w:pStyle w:val="TableText"/>
              <w:jc w:val="center"/>
            </w:pPr>
            <w:r w:rsidRPr="007800BC">
              <w:rPr>
                <w:rFonts w:ascii="Arial" w:eastAsia="Times New Roman" w:hAnsi="Arial" w:cs="Arial"/>
                <w:b/>
                <w:bCs/>
                <w:color w:val="FFC000"/>
                <w:szCs w:val="20"/>
                <w:lang w:val="en-US"/>
              </w:rPr>
              <w:t>High</w:t>
            </w:r>
          </w:p>
        </w:tc>
      </w:tr>
      <w:tr w:rsidR="009B0F34" w14:paraId="03F2B510" w14:textId="77777777" w:rsidTr="00AD6008">
        <w:trPr>
          <w:trHeight w:val="412"/>
        </w:trPr>
        <w:tc>
          <w:tcPr>
            <w:tcW w:w="3964" w:type="dxa"/>
          </w:tcPr>
          <w:p w14:paraId="4EB2A40C" w14:textId="0AEDDD53" w:rsidR="009B0F34" w:rsidRDefault="009B0F34" w:rsidP="00153AFB">
            <w:pPr>
              <w:pStyle w:val="TableText"/>
            </w:pPr>
            <w:r w:rsidRPr="007800BC">
              <w:rPr>
                <w:rFonts w:ascii="Arial" w:eastAsia="Times New Roman" w:hAnsi="Arial" w:cs="Arial"/>
                <w:b/>
                <w:bCs/>
                <w:color w:val="000000"/>
                <w:szCs w:val="20"/>
                <w:lang w:val="en-US"/>
              </w:rPr>
              <w:t xml:space="preserve">MU5 - Geake Point to </w:t>
            </w:r>
            <w:r w:rsidR="00AD6008">
              <w:rPr>
                <w:rFonts w:ascii="Arial" w:eastAsia="Times New Roman" w:hAnsi="Arial" w:cs="Arial"/>
                <w:b/>
                <w:bCs/>
                <w:color w:val="000000"/>
                <w:szCs w:val="20"/>
                <w:lang w:val="en-US"/>
              </w:rPr>
              <w:t xml:space="preserve">Point </w:t>
            </w:r>
            <w:r w:rsidR="00AD6008" w:rsidRPr="00F664E3">
              <w:rPr>
                <w:rFonts w:ascii="Arial" w:eastAsia="Times New Roman" w:hAnsi="Arial" w:cs="Arial"/>
                <w:b/>
                <w:bCs/>
                <w:color w:val="000000"/>
                <w:szCs w:val="20"/>
                <w:lang w:val="en-US"/>
              </w:rPr>
              <w:t xml:space="preserve">Possession </w:t>
            </w:r>
            <w:r w:rsidR="00AD6008">
              <w:rPr>
                <w:rFonts w:ascii="Arial" w:eastAsia="Times New Roman" w:hAnsi="Arial" w:cs="Arial"/>
                <w:b/>
                <w:bCs/>
                <w:color w:val="000000"/>
                <w:szCs w:val="20"/>
                <w:lang w:val="en-US"/>
              </w:rPr>
              <w:t xml:space="preserve">/ Uredale </w:t>
            </w:r>
            <w:r w:rsidR="00AD6008" w:rsidRPr="00F664E3">
              <w:rPr>
                <w:rFonts w:ascii="Arial" w:eastAsia="Times New Roman" w:hAnsi="Arial" w:cs="Arial"/>
                <w:b/>
                <w:bCs/>
                <w:color w:val="000000"/>
                <w:szCs w:val="20"/>
                <w:lang w:val="en-US"/>
              </w:rPr>
              <w:t>Point</w:t>
            </w:r>
          </w:p>
        </w:tc>
        <w:tc>
          <w:tcPr>
            <w:tcW w:w="1560" w:type="dxa"/>
            <w:shd w:val="clear" w:color="auto" w:fill="D9D9D9" w:themeFill="background1" w:themeFillShade="D9"/>
          </w:tcPr>
          <w:p w14:paraId="364C3F38"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417" w:type="dxa"/>
            <w:shd w:val="clear" w:color="auto" w:fill="D9D9D9" w:themeFill="background1" w:themeFillShade="D9"/>
          </w:tcPr>
          <w:p w14:paraId="26221F89"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418" w:type="dxa"/>
            <w:shd w:val="clear" w:color="auto" w:fill="D9D9D9" w:themeFill="background1" w:themeFillShade="D9"/>
          </w:tcPr>
          <w:p w14:paraId="06209C98"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c>
          <w:tcPr>
            <w:tcW w:w="1269" w:type="dxa"/>
            <w:shd w:val="clear" w:color="auto" w:fill="D9D9D9" w:themeFill="background1" w:themeFillShade="D9"/>
          </w:tcPr>
          <w:p w14:paraId="2C24342F" w14:textId="77777777" w:rsidR="009B0F34" w:rsidRDefault="009B0F34" w:rsidP="00153AFB">
            <w:pPr>
              <w:pStyle w:val="TableText"/>
              <w:jc w:val="center"/>
            </w:pPr>
            <w:r w:rsidRPr="00F664E3">
              <w:rPr>
                <w:rFonts w:ascii="Arial" w:eastAsia="Times New Roman" w:hAnsi="Arial" w:cs="Arial"/>
                <w:b/>
                <w:bCs/>
                <w:color w:val="FFFF00"/>
                <w:szCs w:val="20"/>
                <w:lang w:val="en-US"/>
              </w:rPr>
              <w:t>Medium</w:t>
            </w:r>
          </w:p>
        </w:tc>
      </w:tr>
    </w:tbl>
    <w:p w14:paraId="4C9A56DE" w14:textId="59614A5A" w:rsidR="00CD4C64" w:rsidRDefault="00CD4C64" w:rsidP="00CD4C64">
      <w:pPr>
        <w:pStyle w:val="Heading2"/>
        <w:numPr>
          <w:ilvl w:val="1"/>
          <w:numId w:val="14"/>
        </w:numPr>
      </w:pPr>
      <w:bookmarkStart w:id="175" w:name="_Toc164420883"/>
      <w:r>
        <w:t>Risk Management and Adaptation Hierarchy</w:t>
      </w:r>
      <w:bookmarkEnd w:id="168"/>
      <w:bookmarkEnd w:id="169"/>
      <w:bookmarkEnd w:id="175"/>
    </w:p>
    <w:p w14:paraId="5803609B" w14:textId="6896CFD8" w:rsidR="00CD4C64" w:rsidRDefault="00CD4C64" w:rsidP="00CD4C64">
      <w:pPr>
        <w:pStyle w:val="BodyText"/>
      </w:pPr>
      <w:r>
        <w:t xml:space="preserve">SPP2.6 provides a hierarchy of adaptation pathways to guide decision-making in coastal areas to be used by planning authorities and development proponents when considering adaptation options to minimise coastal hazard risks at the local level. The hierarchy, presented in </w:t>
      </w:r>
      <w:r>
        <w:fldChar w:fldCharType="begin"/>
      </w:r>
      <w:r>
        <w:instrText xml:space="preserve"> REF _Ref526758952 \h </w:instrText>
      </w:r>
      <w:r>
        <w:fldChar w:fldCharType="separate"/>
      </w:r>
      <w:r w:rsidR="00594B04">
        <w:t xml:space="preserve">Figure </w:t>
      </w:r>
      <w:r w:rsidR="00594B04">
        <w:rPr>
          <w:noProof/>
        </w:rPr>
        <w:t>6</w:t>
      </w:r>
      <w:r w:rsidR="00594B04">
        <w:noBreakHyphen/>
      </w:r>
      <w:r w:rsidR="00594B04">
        <w:rPr>
          <w:noProof/>
        </w:rPr>
        <w:t>1</w:t>
      </w:r>
      <w:r>
        <w:fldChar w:fldCharType="end"/>
      </w:r>
      <w:r>
        <w:t>, indicates a clear preference against the adoption of ‘protect’ as a long-term adaptation pathway. This preference is re-emphasised in SPP2.6, the policy guidelines, the CHRMAP Guidelines and the WA Coastal Zone Strategy. This hierarchy is discussed further below.</w:t>
      </w:r>
    </w:p>
    <w:p w14:paraId="0F243402" w14:textId="77777777" w:rsidR="00CD4C64" w:rsidRDefault="00CD4C64" w:rsidP="00CD4C64">
      <w:pPr>
        <w:pStyle w:val="BodyText"/>
      </w:pPr>
      <w:r>
        <w:rPr>
          <w:noProof/>
        </w:rPr>
        <w:lastRenderedPageBreak/>
        <w:drawing>
          <wp:inline distT="0" distB="0" distL="0" distR="0" wp14:anchorId="728A8066" wp14:editId="466CB1F4">
            <wp:extent cx="6120130" cy="1708785"/>
            <wp:effectExtent l="0" t="0" r="0" b="5715"/>
            <wp:docPr id="311" name="Picture 31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Picture 311" descr="A close up of a sign&#10;&#10;Description automatically generated"/>
                    <pic:cNvPicPr>
                      <a:picLocks noChangeAspect="1"/>
                    </pic:cNvPicPr>
                  </pic:nvPicPr>
                  <pic:blipFill>
                    <a:blip r:embed="rId46"/>
                    <a:stretch>
                      <a:fillRect/>
                    </a:stretch>
                  </pic:blipFill>
                  <pic:spPr>
                    <a:xfrm>
                      <a:off x="0" y="0"/>
                      <a:ext cx="6120130" cy="1708785"/>
                    </a:xfrm>
                    <a:prstGeom prst="rect">
                      <a:avLst/>
                    </a:prstGeom>
                  </pic:spPr>
                </pic:pic>
              </a:graphicData>
            </a:graphic>
          </wp:inline>
        </w:drawing>
      </w:r>
    </w:p>
    <w:p w14:paraId="7AEBED31" w14:textId="487DE107" w:rsidR="00CD4C64" w:rsidRDefault="00CD4C64" w:rsidP="00CD4C64">
      <w:pPr>
        <w:pStyle w:val="FigureCaption"/>
      </w:pPr>
      <w:bookmarkStart w:id="176" w:name="_Ref526758952"/>
      <w:bookmarkStart w:id="177" w:name="_Ref526495478"/>
      <w:bookmarkStart w:id="178" w:name="_Toc3302128"/>
      <w:bookmarkStart w:id="179" w:name="_Toc90907319"/>
      <w:bookmarkStart w:id="180" w:name="_Toc115686195"/>
      <w:bookmarkStart w:id="181" w:name="_Toc152578286"/>
      <w:bookmarkStart w:id="182" w:name="_Toc164411268"/>
      <w:r>
        <w:t xml:space="preserve">Figure </w:t>
      </w:r>
      <w:r w:rsidR="008647EF">
        <w:fldChar w:fldCharType="begin"/>
      </w:r>
      <w:r w:rsidR="008647EF">
        <w:instrText xml:space="preserve"> STYLEREF 1 \s </w:instrText>
      </w:r>
      <w:r w:rsidR="008647EF">
        <w:fldChar w:fldCharType="separate"/>
      </w:r>
      <w:r w:rsidR="008647EF">
        <w:rPr>
          <w:noProof/>
        </w:rPr>
        <w:t>6</w:t>
      </w:r>
      <w:r w:rsidR="008647EF">
        <w:fldChar w:fldCharType="end"/>
      </w:r>
      <w:r w:rsidR="008647EF">
        <w:noBreakHyphen/>
      </w:r>
      <w:r w:rsidR="008647EF">
        <w:fldChar w:fldCharType="begin"/>
      </w:r>
      <w:r w:rsidR="008647EF">
        <w:instrText xml:space="preserve"> SEQ Figure \* ARABIC \s 1 </w:instrText>
      </w:r>
      <w:r w:rsidR="008647EF">
        <w:fldChar w:fldCharType="separate"/>
      </w:r>
      <w:r w:rsidR="008647EF">
        <w:rPr>
          <w:noProof/>
        </w:rPr>
        <w:t>1</w:t>
      </w:r>
      <w:r w:rsidR="008647EF">
        <w:fldChar w:fldCharType="end"/>
      </w:r>
      <w:bookmarkEnd w:id="176"/>
      <w:r>
        <w:tab/>
        <w:t>Coastal hazard risk management and adaptation planning hierarchy (adapted from WAPC, 2019)</w:t>
      </w:r>
      <w:bookmarkEnd w:id="177"/>
      <w:bookmarkEnd w:id="178"/>
      <w:bookmarkEnd w:id="179"/>
      <w:bookmarkEnd w:id="180"/>
      <w:bookmarkEnd w:id="181"/>
      <w:bookmarkEnd w:id="182"/>
    </w:p>
    <w:p w14:paraId="47F7610B" w14:textId="77777777" w:rsidR="00CD4C64" w:rsidRDefault="00CD4C64" w:rsidP="00CD4C64">
      <w:pPr>
        <w:pStyle w:val="BodyText"/>
      </w:pPr>
      <w:r>
        <w:t xml:space="preserve">Maintaining public access to the coast in developed areas is one of the main objectives of SPP2.6. The current State legislative framework means that where the shoreline recedes beyond private property boundaries, public access and trespass issues are likely to arise. This situation implies that public authorities have two main adaptation options available to them for preserving public coastal access: </w:t>
      </w:r>
    </w:p>
    <w:p w14:paraId="7852C0BA" w14:textId="77777777" w:rsidR="00CD4C64" w:rsidRDefault="00CD4C64" w:rsidP="00A97817">
      <w:pPr>
        <w:pStyle w:val="ListBullet0"/>
        <w:numPr>
          <w:ilvl w:val="0"/>
          <w:numId w:val="60"/>
        </w:numPr>
      </w:pPr>
      <w:r w:rsidRPr="002B6724">
        <w:rPr>
          <w:b/>
        </w:rPr>
        <w:t>Planned or Managed Retreat</w:t>
      </w:r>
      <w:r>
        <w:t xml:space="preserve"> i.e., maintaining a foreshore reserve through public acquisition of private property; or, </w:t>
      </w:r>
    </w:p>
    <w:p w14:paraId="19B8A8B1" w14:textId="77777777" w:rsidR="00CD4C64" w:rsidRPr="002B6724" w:rsidRDefault="00CD4C64" w:rsidP="00A97817">
      <w:pPr>
        <w:pStyle w:val="ListBullet0"/>
        <w:numPr>
          <w:ilvl w:val="0"/>
          <w:numId w:val="60"/>
        </w:numPr>
      </w:pPr>
      <w:r w:rsidRPr="002B6724">
        <w:rPr>
          <w:b/>
        </w:rPr>
        <w:t>Protect</w:t>
      </w:r>
      <w:r>
        <w:t xml:space="preserve"> i.e., preventing the shoreline from receding beyond private property boundaries by stabilising the current shoreline position using various protection measures </w:t>
      </w:r>
    </w:p>
    <w:p w14:paraId="5C2C515C" w14:textId="77777777" w:rsidR="00CD4C64" w:rsidRDefault="00CD4C64" w:rsidP="00CD4C64">
      <w:pPr>
        <w:pStyle w:val="BodyText"/>
        <w:rPr>
          <w:rFonts w:ascii="Arial" w:hAnsi="Arial"/>
        </w:rPr>
      </w:pPr>
      <w:r>
        <w:t xml:space="preserve">Where public authorities cannot commit to either of these options over the long term, it is likely that public authorities will need to </w:t>
      </w:r>
      <w:r>
        <w:rPr>
          <w:rStyle w:val="Emphasis"/>
        </w:rPr>
        <w:t>Accommodate</w:t>
      </w:r>
      <w:r>
        <w:t xml:space="preserve">, by modifying local planning frameworks to help ensure that new development is appropriately designed and located. Public authorities in this situation may also choose to consider the appropriateness of interim Protection measures to preserve public interests by delaying shoreline recession and minimising the effect of regular nuisance inundation events on existing development and infrastructure. </w:t>
      </w:r>
    </w:p>
    <w:bookmarkStart w:id="183" w:name="_Toc152578232"/>
    <w:p w14:paraId="2BB8157A" w14:textId="529F7498" w:rsidR="00C645B8" w:rsidRDefault="00C645B8" w:rsidP="00C645B8">
      <w:pPr>
        <w:pStyle w:val="BodyText"/>
      </w:pPr>
      <w:r>
        <w:fldChar w:fldCharType="begin"/>
      </w:r>
      <w:r>
        <w:instrText xml:space="preserve"> REF _Ref125843064 \h </w:instrText>
      </w:r>
      <w:r>
        <w:fldChar w:fldCharType="separate"/>
      </w:r>
      <w:r w:rsidR="00594B04">
        <w:t>Table </w:t>
      </w:r>
      <w:r w:rsidR="00594B04">
        <w:rPr>
          <w:noProof/>
        </w:rPr>
        <w:t>6</w:t>
      </w:r>
      <w:r w:rsidR="00594B04">
        <w:noBreakHyphen/>
      </w:r>
      <w:r w:rsidR="00594B04">
        <w:rPr>
          <w:noProof/>
        </w:rPr>
        <w:t>3</w:t>
      </w:r>
      <w:r>
        <w:fldChar w:fldCharType="end"/>
      </w:r>
      <w:r>
        <w:t xml:space="preserve"> presents a summary of the relevant information for adaptation.</w:t>
      </w:r>
      <w:r w:rsidRPr="00C54DD4">
        <w:t xml:space="preserve"> </w:t>
      </w:r>
      <w:r>
        <w:t>The CHRMAP process aims to minimise coastal hazards and maximise the beneficial use of the coast.</w:t>
      </w:r>
    </w:p>
    <w:p w14:paraId="501CB06D" w14:textId="219F9FCA" w:rsidR="00C645B8" w:rsidRDefault="00C645B8" w:rsidP="00C645B8">
      <w:pPr>
        <w:pStyle w:val="TableCaption"/>
      </w:pPr>
      <w:bookmarkStart w:id="184" w:name="_Ref125843064"/>
      <w:bookmarkStart w:id="185" w:name="_Toc164411285"/>
      <w:r>
        <w:t>Table </w:t>
      </w:r>
      <w:r w:rsidR="008647EF">
        <w:fldChar w:fldCharType="begin"/>
      </w:r>
      <w:r w:rsidR="008647EF">
        <w:instrText xml:space="preserve"> STYLEREF 1 \s </w:instrText>
      </w:r>
      <w:r w:rsidR="008647EF">
        <w:fldChar w:fldCharType="separate"/>
      </w:r>
      <w:r w:rsidR="008647EF">
        <w:rPr>
          <w:noProof/>
        </w:rPr>
        <w:t>6</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3</w:t>
      </w:r>
      <w:r w:rsidR="008647EF">
        <w:fldChar w:fldCharType="end"/>
      </w:r>
      <w:bookmarkEnd w:id="184"/>
      <w:r>
        <w:tab/>
        <w:t>Adaptation consideration summary</w:t>
      </w:r>
      <w:bookmarkEnd w:id="185"/>
    </w:p>
    <w:tbl>
      <w:tblPr>
        <w:tblStyle w:val="GreenTable"/>
        <w:tblW w:w="5000" w:type="pct"/>
        <w:shd w:val="clear" w:color="auto" w:fill="6EB444" w:themeFill="accent3"/>
        <w:tblLayout w:type="fixed"/>
        <w:tblLook w:val="0620" w:firstRow="1" w:lastRow="0" w:firstColumn="0" w:lastColumn="0" w:noHBand="1" w:noVBand="1"/>
      </w:tblPr>
      <w:tblGrid>
        <w:gridCol w:w="9628"/>
      </w:tblGrid>
      <w:tr w:rsidR="00C645B8" w14:paraId="6D79C0C8" w14:textId="77777777" w:rsidTr="00153AFB">
        <w:trPr>
          <w:cnfStyle w:val="100000000000" w:firstRow="1" w:lastRow="0" w:firstColumn="0" w:lastColumn="0" w:oddVBand="0" w:evenVBand="0" w:oddHBand="0" w:evenHBand="0" w:firstRowFirstColumn="0" w:firstRowLastColumn="0" w:lastRowFirstColumn="0" w:lastRowLastColumn="0"/>
        </w:trPr>
        <w:tc>
          <w:tcPr>
            <w:tcW w:w="9628" w:type="dxa"/>
          </w:tcPr>
          <w:p w14:paraId="77A92DE5" w14:textId="77777777" w:rsidR="00C645B8" w:rsidRPr="008F53E3" w:rsidRDefault="00C645B8" w:rsidP="00FF5CBF">
            <w:pPr>
              <w:pStyle w:val="TableBullet"/>
              <w:numPr>
                <w:ilvl w:val="0"/>
                <w:numId w:val="19"/>
              </w:numPr>
            </w:pPr>
            <w:r w:rsidRPr="00F46167">
              <w:t>Adaptation options should minimise coastal process interference and legacy issues</w:t>
            </w:r>
          </w:p>
          <w:p w14:paraId="3052A467" w14:textId="2122CEDD" w:rsidR="00C645B8" w:rsidRDefault="00C645B8" w:rsidP="00FF5CBF">
            <w:pPr>
              <w:pStyle w:val="TableBullet2"/>
              <w:numPr>
                <w:ilvl w:val="1"/>
                <w:numId w:val="21"/>
              </w:numPr>
            </w:pPr>
            <w:r w:rsidRPr="008F53E3">
              <w:t xml:space="preserve">The adaptation hierarchy is presented in </w:t>
            </w:r>
            <w:r>
              <w:fldChar w:fldCharType="begin"/>
            </w:r>
            <w:r>
              <w:instrText xml:space="preserve"> REF _Ref526758952 \h </w:instrText>
            </w:r>
            <w:r>
              <w:fldChar w:fldCharType="separate"/>
            </w:r>
            <w:r w:rsidR="00594B04">
              <w:t xml:space="preserve">Figure </w:t>
            </w:r>
            <w:r w:rsidR="00594B04">
              <w:rPr>
                <w:noProof/>
              </w:rPr>
              <w:t>6</w:t>
            </w:r>
            <w:r w:rsidR="00594B04">
              <w:noBreakHyphen/>
            </w:r>
            <w:r w:rsidR="00594B04">
              <w:rPr>
                <w:noProof/>
              </w:rPr>
              <w:t>1</w:t>
            </w:r>
            <w:r>
              <w:fldChar w:fldCharType="end"/>
            </w:r>
          </w:p>
        </w:tc>
      </w:tr>
      <w:tr w:rsidR="00C645B8" w14:paraId="1F9C1A58" w14:textId="77777777" w:rsidTr="00153AFB">
        <w:tc>
          <w:tcPr>
            <w:tcW w:w="9628" w:type="dxa"/>
            <w:shd w:val="clear" w:color="auto" w:fill="6EB444" w:themeFill="accent3"/>
          </w:tcPr>
          <w:p w14:paraId="72E5AFCA" w14:textId="77777777" w:rsidR="00C645B8" w:rsidRPr="008F53E3" w:rsidRDefault="00C645B8" w:rsidP="00FF5CBF">
            <w:pPr>
              <w:pStyle w:val="TableBullet"/>
              <w:numPr>
                <w:ilvl w:val="0"/>
                <w:numId w:val="19"/>
              </w:numPr>
              <w:rPr>
                <w:color w:val="FFFFFF" w:themeColor="background1"/>
              </w:rPr>
            </w:pPr>
            <w:r w:rsidRPr="008F53E3">
              <w:rPr>
                <w:color w:val="FFFFFF" w:themeColor="background1"/>
              </w:rPr>
              <w:t>Coastal development must be sustainable in the long</w:t>
            </w:r>
            <w:r>
              <w:rPr>
                <w:color w:val="FFFFFF" w:themeColor="background1"/>
              </w:rPr>
              <w:t xml:space="preserve"> </w:t>
            </w:r>
            <w:r w:rsidRPr="008F53E3">
              <w:rPr>
                <w:color w:val="FFFFFF" w:themeColor="background1"/>
              </w:rPr>
              <w:t>term and must balance the community, economic, environmental and cultural needs</w:t>
            </w:r>
          </w:p>
          <w:p w14:paraId="7095D164" w14:textId="77777777" w:rsidR="00C645B8" w:rsidRPr="008F53E3" w:rsidRDefault="00C645B8" w:rsidP="00FF5CBF">
            <w:pPr>
              <w:pStyle w:val="TableBullet"/>
              <w:numPr>
                <w:ilvl w:val="0"/>
                <w:numId w:val="19"/>
              </w:numPr>
              <w:rPr>
                <w:color w:val="FFFFFF" w:themeColor="background1"/>
              </w:rPr>
            </w:pPr>
            <w:r w:rsidRPr="008F53E3">
              <w:rPr>
                <w:color w:val="FFFFFF" w:themeColor="background1"/>
              </w:rPr>
              <w:t xml:space="preserve">Local Governments are responsible for managing risks to </w:t>
            </w:r>
            <w:r w:rsidRPr="008F53E3">
              <w:rPr>
                <w:b/>
                <w:color w:val="FFFFFF" w:themeColor="background1"/>
              </w:rPr>
              <w:t>public assets</w:t>
            </w:r>
            <w:r w:rsidRPr="008F53E3">
              <w:rPr>
                <w:color w:val="FFFFFF" w:themeColor="background1"/>
              </w:rPr>
              <w:t xml:space="preserve"> and any assets they manage. They should also:</w:t>
            </w:r>
          </w:p>
          <w:p w14:paraId="3E8ED0A8" w14:textId="77777777" w:rsidR="00C645B8" w:rsidRPr="008F53E3" w:rsidRDefault="00C645B8" w:rsidP="00FF5CBF">
            <w:pPr>
              <w:pStyle w:val="TableBullet2"/>
              <w:numPr>
                <w:ilvl w:val="1"/>
                <w:numId w:val="20"/>
              </w:numPr>
              <w:rPr>
                <w:color w:val="FFFFFF" w:themeColor="background1"/>
              </w:rPr>
            </w:pPr>
            <w:r w:rsidRPr="008F53E3">
              <w:rPr>
                <w:color w:val="FFFFFF" w:themeColor="background1"/>
              </w:rPr>
              <w:t>Develop local policies and regulations consistent with state legislation and policy</w:t>
            </w:r>
          </w:p>
          <w:p w14:paraId="07E78318" w14:textId="77777777" w:rsidR="00C645B8" w:rsidRPr="008F53E3" w:rsidRDefault="00C645B8" w:rsidP="00FF5CBF">
            <w:pPr>
              <w:pStyle w:val="TableBullet2"/>
              <w:numPr>
                <w:ilvl w:val="1"/>
                <w:numId w:val="20"/>
              </w:numPr>
              <w:rPr>
                <w:color w:val="FFFFFF" w:themeColor="background1"/>
              </w:rPr>
            </w:pPr>
            <w:r w:rsidRPr="008F53E3">
              <w:rPr>
                <w:color w:val="FFFFFF" w:themeColor="background1"/>
              </w:rPr>
              <w:t>Facilitate building resilience and adaptive capacity within the local community</w:t>
            </w:r>
          </w:p>
          <w:p w14:paraId="579CDCD3" w14:textId="77777777" w:rsidR="00C645B8" w:rsidRPr="008F53E3" w:rsidRDefault="00C645B8" w:rsidP="00FF5CBF">
            <w:pPr>
              <w:pStyle w:val="TableBullet2"/>
              <w:numPr>
                <w:ilvl w:val="1"/>
                <w:numId w:val="20"/>
              </w:numPr>
              <w:rPr>
                <w:color w:val="FFFFFF" w:themeColor="background1"/>
              </w:rPr>
            </w:pPr>
            <w:r w:rsidRPr="008F53E3">
              <w:rPr>
                <w:color w:val="FFFFFF" w:themeColor="background1"/>
              </w:rPr>
              <w:t xml:space="preserve">Work in partnership with </w:t>
            </w:r>
            <w:r>
              <w:rPr>
                <w:color w:val="FFFFFF" w:themeColor="background1"/>
              </w:rPr>
              <w:t xml:space="preserve">the </w:t>
            </w:r>
            <w:r w:rsidRPr="008F53E3">
              <w:rPr>
                <w:color w:val="FFFFFF" w:themeColor="background1"/>
              </w:rPr>
              <w:t>community to identi</w:t>
            </w:r>
            <w:r>
              <w:rPr>
                <w:color w:val="FFFFFF" w:themeColor="background1"/>
              </w:rPr>
              <w:t>f</w:t>
            </w:r>
            <w:r w:rsidRPr="008F53E3">
              <w:rPr>
                <w:color w:val="FFFFFF" w:themeColor="background1"/>
              </w:rPr>
              <w:t>y and manage risks</w:t>
            </w:r>
            <w:r>
              <w:rPr>
                <w:color w:val="FFFFFF" w:themeColor="background1"/>
              </w:rPr>
              <w:t>/</w:t>
            </w:r>
            <w:r w:rsidRPr="008F53E3">
              <w:rPr>
                <w:color w:val="FFFFFF" w:themeColor="background1"/>
              </w:rPr>
              <w:t>impacts</w:t>
            </w:r>
          </w:p>
          <w:p w14:paraId="37D071D4" w14:textId="77777777" w:rsidR="00C645B8" w:rsidRPr="008F53E3" w:rsidRDefault="00C645B8" w:rsidP="00FF5CBF">
            <w:pPr>
              <w:pStyle w:val="TableBullet"/>
              <w:numPr>
                <w:ilvl w:val="0"/>
                <w:numId w:val="19"/>
              </w:numPr>
              <w:rPr>
                <w:color w:val="FFFFFF" w:themeColor="background1"/>
              </w:rPr>
            </w:pPr>
            <w:r w:rsidRPr="008F53E3">
              <w:rPr>
                <w:color w:val="FFFFFF" w:themeColor="background1"/>
              </w:rPr>
              <w:t>Management strategies that preserve the natural coastline and move development away from the active coastal zone in an orderly manner are considered ideal. Of particular relevance to the CHRMAP process is the user</w:t>
            </w:r>
            <w:r>
              <w:rPr>
                <w:color w:val="FFFFFF" w:themeColor="background1"/>
              </w:rPr>
              <w:t>-</w:t>
            </w:r>
            <w:r w:rsidRPr="008F53E3">
              <w:rPr>
                <w:color w:val="FFFFFF" w:themeColor="background1"/>
              </w:rPr>
              <w:t>pays principle, whereby those who benefit most from protection must provide the greatest financial contribution</w:t>
            </w:r>
          </w:p>
          <w:p w14:paraId="52ABB06D" w14:textId="77777777" w:rsidR="00C645B8" w:rsidRDefault="00C645B8" w:rsidP="00FF5CBF">
            <w:pPr>
              <w:pStyle w:val="TableBullet"/>
              <w:numPr>
                <w:ilvl w:val="0"/>
                <w:numId w:val="19"/>
              </w:numPr>
            </w:pPr>
            <w:r w:rsidRPr="008F53E3">
              <w:rPr>
                <w:color w:val="FFFFFF" w:themeColor="background1"/>
              </w:rPr>
              <w:t>Adaptation options should maintain future flexibility to build resilient coastal communities</w:t>
            </w:r>
          </w:p>
        </w:tc>
      </w:tr>
      <w:tr w:rsidR="00C645B8" w14:paraId="447ACB3F" w14:textId="77777777" w:rsidTr="00153AFB">
        <w:tc>
          <w:tcPr>
            <w:tcW w:w="9628" w:type="dxa"/>
            <w:shd w:val="clear" w:color="auto" w:fill="6EB444" w:themeFill="accent3"/>
          </w:tcPr>
          <w:p w14:paraId="42AB6627" w14:textId="77777777" w:rsidR="00C645B8" w:rsidRDefault="00C645B8" w:rsidP="00FF5CBF">
            <w:pPr>
              <w:pStyle w:val="TableBullet"/>
              <w:numPr>
                <w:ilvl w:val="0"/>
                <w:numId w:val="19"/>
              </w:numPr>
            </w:pPr>
            <w:r w:rsidRPr="00F46167">
              <w:rPr>
                <w:color w:val="FFFFFF" w:themeColor="background1"/>
              </w:rPr>
              <w:t xml:space="preserve">A key adaptation option will be the use of planning instruments, including managed </w:t>
            </w:r>
            <w:r>
              <w:rPr>
                <w:color w:val="FFFFFF" w:themeColor="background1"/>
              </w:rPr>
              <w:t>R</w:t>
            </w:r>
            <w:r w:rsidRPr="00F46167">
              <w:rPr>
                <w:color w:val="FFFFFF" w:themeColor="background1"/>
              </w:rPr>
              <w:t>etreat.</w:t>
            </w:r>
          </w:p>
        </w:tc>
      </w:tr>
    </w:tbl>
    <w:p w14:paraId="474F0C9E" w14:textId="77777777" w:rsidR="00CD4C64" w:rsidRDefault="00CD4C64" w:rsidP="00CD4C64">
      <w:pPr>
        <w:pStyle w:val="Heading2"/>
        <w:numPr>
          <w:ilvl w:val="1"/>
          <w:numId w:val="14"/>
        </w:numPr>
      </w:pPr>
      <w:bookmarkStart w:id="186" w:name="_Toc164420884"/>
      <w:r>
        <w:lastRenderedPageBreak/>
        <w:t>Risk Treatment Options</w:t>
      </w:r>
      <w:bookmarkEnd w:id="183"/>
      <w:bookmarkEnd w:id="186"/>
    </w:p>
    <w:p w14:paraId="3EA3DB98" w14:textId="2A7D248D" w:rsidR="00CD4C64" w:rsidRDefault="00CD4C64" w:rsidP="00CD4C64">
      <w:pPr>
        <w:pStyle w:val="BodyText"/>
      </w:pPr>
      <w:r>
        <w:fldChar w:fldCharType="begin"/>
      </w:r>
      <w:r>
        <w:instrText xml:space="preserve"> REF _Ref95926553 \h </w:instrText>
      </w:r>
      <w:r>
        <w:fldChar w:fldCharType="separate"/>
      </w:r>
      <w:r w:rsidR="00594B04">
        <w:t>Table </w:t>
      </w:r>
      <w:r w:rsidR="00594B04">
        <w:rPr>
          <w:noProof/>
        </w:rPr>
        <w:t>6</w:t>
      </w:r>
      <w:r w:rsidR="00594B04">
        <w:noBreakHyphen/>
      </w:r>
      <w:r w:rsidR="00594B04">
        <w:rPr>
          <w:noProof/>
        </w:rPr>
        <w:t>4</w:t>
      </w:r>
      <w:r>
        <w:fldChar w:fldCharType="end"/>
      </w:r>
      <w:r>
        <w:t xml:space="preserve"> below presents a list of generally available adaptation options suitable for most coastal sites. These relate to both short-term and long-term adaptation to coastal hazards in general, not just in relation to planning for climate change impacts. </w:t>
      </w:r>
      <w:r w:rsidRPr="000858C0">
        <w:t>The column on the right-hand side provides some discussion as to the possibility of its application for the study area</w:t>
      </w:r>
      <w:r>
        <w:t>.</w:t>
      </w:r>
    </w:p>
    <w:p w14:paraId="2F2C3A06" w14:textId="77777777" w:rsidR="00CD4C64" w:rsidRDefault="00CD4C64" w:rsidP="00CD4C64">
      <w:pPr>
        <w:spacing w:before="80" w:after="80"/>
        <w:rPr>
          <w:rFonts w:eastAsia="Times New Roman" w:cs="Times New Roman"/>
          <w:szCs w:val="24"/>
          <w:lang w:eastAsia="en-AU"/>
        </w:rPr>
      </w:pPr>
      <w:r>
        <w:br w:type="page"/>
      </w:r>
    </w:p>
    <w:p w14:paraId="4EBACFEC" w14:textId="77777777" w:rsidR="00CD4C64" w:rsidRDefault="00CD4C64" w:rsidP="00CD4C64">
      <w:pPr>
        <w:pStyle w:val="BodyText"/>
        <w:sectPr w:rsidR="00CD4C64" w:rsidSect="004A034B">
          <w:headerReference w:type="even" r:id="rId47"/>
          <w:headerReference w:type="default" r:id="rId48"/>
          <w:footerReference w:type="even" r:id="rId49"/>
          <w:footerReference w:type="default" r:id="rId50"/>
          <w:headerReference w:type="first" r:id="rId51"/>
          <w:footerReference w:type="first" r:id="rId52"/>
          <w:pgSz w:w="11906" w:h="16838" w:code="9"/>
          <w:pgMar w:top="1985" w:right="1134" w:bottom="1701" w:left="1134" w:header="567" w:footer="567" w:gutter="0"/>
          <w:cols w:space="708"/>
          <w:docGrid w:linePitch="360"/>
        </w:sectPr>
      </w:pPr>
    </w:p>
    <w:p w14:paraId="6FC75F1B" w14:textId="7E04098A" w:rsidR="00CD4C64" w:rsidRDefault="00CD4C64" w:rsidP="00CD4C64">
      <w:pPr>
        <w:pStyle w:val="TableCaption"/>
      </w:pPr>
      <w:bookmarkStart w:id="187" w:name="_Ref95926553"/>
      <w:bookmarkStart w:id="188" w:name="_Toc115686201"/>
      <w:bookmarkStart w:id="189" w:name="_Toc152578349"/>
      <w:bookmarkStart w:id="190" w:name="_Toc164411286"/>
      <w:r>
        <w:lastRenderedPageBreak/>
        <w:t>Table </w:t>
      </w:r>
      <w:r w:rsidR="008647EF">
        <w:fldChar w:fldCharType="begin"/>
      </w:r>
      <w:r w:rsidR="008647EF">
        <w:instrText xml:space="preserve"> STYLEREF 1 \s </w:instrText>
      </w:r>
      <w:r w:rsidR="008647EF">
        <w:fldChar w:fldCharType="separate"/>
      </w:r>
      <w:r w:rsidR="008647EF">
        <w:rPr>
          <w:noProof/>
        </w:rPr>
        <w:t>6</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4</w:t>
      </w:r>
      <w:r w:rsidR="008647EF">
        <w:fldChar w:fldCharType="end"/>
      </w:r>
      <w:bookmarkEnd w:id="187"/>
      <w:r>
        <w:tab/>
        <w:t>Risk treatment options from WAPC (2019)</w:t>
      </w:r>
      <w:bookmarkEnd w:id="188"/>
      <w:bookmarkEnd w:id="189"/>
      <w:bookmarkEnd w:id="190"/>
    </w:p>
    <w:tbl>
      <w:tblPr>
        <w:tblStyle w:val="BlueTable"/>
        <w:tblW w:w="0" w:type="auto"/>
        <w:tblLook w:val="0620" w:firstRow="1" w:lastRow="0" w:firstColumn="0" w:lastColumn="0" w:noHBand="1" w:noVBand="1"/>
      </w:tblPr>
      <w:tblGrid>
        <w:gridCol w:w="1780"/>
        <w:gridCol w:w="2797"/>
        <w:gridCol w:w="996"/>
        <w:gridCol w:w="8987"/>
      </w:tblGrid>
      <w:tr w:rsidR="00CD4C64" w14:paraId="4C55E69D" w14:textId="77777777" w:rsidTr="00F65818">
        <w:trPr>
          <w:cnfStyle w:val="100000000000" w:firstRow="1" w:lastRow="0" w:firstColumn="0" w:lastColumn="0" w:oddVBand="0" w:evenVBand="0" w:oddHBand="0" w:evenHBand="0" w:firstRowFirstColumn="0" w:firstRowLastColumn="0" w:lastRowFirstColumn="0" w:lastRowLastColumn="0"/>
        </w:trPr>
        <w:tc>
          <w:tcPr>
            <w:tcW w:w="0" w:type="auto"/>
          </w:tcPr>
          <w:p w14:paraId="4E988EDC" w14:textId="77777777" w:rsidR="00CD4C64" w:rsidRDefault="00CD4C64" w:rsidP="00F65818">
            <w:pPr>
              <w:pStyle w:val="TableHeading"/>
            </w:pPr>
            <w:r>
              <w:t>Option Category</w:t>
            </w:r>
          </w:p>
        </w:tc>
        <w:tc>
          <w:tcPr>
            <w:tcW w:w="0" w:type="auto"/>
          </w:tcPr>
          <w:p w14:paraId="4DAD7818" w14:textId="77777777" w:rsidR="00CD4C64" w:rsidRDefault="00CD4C64" w:rsidP="00F65818">
            <w:pPr>
              <w:pStyle w:val="TableHeading"/>
            </w:pPr>
            <w:r>
              <w:t>Option Name</w:t>
            </w:r>
          </w:p>
        </w:tc>
        <w:tc>
          <w:tcPr>
            <w:tcW w:w="0" w:type="auto"/>
          </w:tcPr>
          <w:p w14:paraId="12E51952" w14:textId="77777777" w:rsidR="00CD4C64" w:rsidRDefault="00CD4C64" w:rsidP="00F65818">
            <w:pPr>
              <w:pStyle w:val="TableHeading"/>
            </w:pPr>
            <w:r>
              <w:t>Option Code</w:t>
            </w:r>
          </w:p>
        </w:tc>
        <w:tc>
          <w:tcPr>
            <w:tcW w:w="0" w:type="auto"/>
          </w:tcPr>
          <w:p w14:paraId="7A092824" w14:textId="77777777" w:rsidR="00CD4C64" w:rsidRDefault="00CD4C64" w:rsidP="00F65818">
            <w:pPr>
              <w:pStyle w:val="TableHeading"/>
            </w:pPr>
            <w:r>
              <w:t>Description of how it will help</w:t>
            </w:r>
          </w:p>
        </w:tc>
      </w:tr>
      <w:tr w:rsidR="00CD4C64" w14:paraId="13CDECBB" w14:textId="77777777" w:rsidTr="00F65818">
        <w:tc>
          <w:tcPr>
            <w:tcW w:w="0" w:type="auto"/>
          </w:tcPr>
          <w:p w14:paraId="167CE07E" w14:textId="77777777" w:rsidR="00CD4C64" w:rsidRDefault="00CD4C64" w:rsidP="00F65818">
            <w:pPr>
              <w:pStyle w:val="TableText"/>
            </w:pPr>
            <w:r>
              <w:t>Avoid</w:t>
            </w:r>
          </w:p>
        </w:tc>
        <w:tc>
          <w:tcPr>
            <w:tcW w:w="0" w:type="auto"/>
          </w:tcPr>
          <w:p w14:paraId="4FBCF1E0" w14:textId="77777777" w:rsidR="00CD4C64" w:rsidRDefault="00CD4C64" w:rsidP="00F65818">
            <w:pPr>
              <w:pStyle w:val="TableText"/>
            </w:pPr>
            <w:r w:rsidRPr="004F4AFB">
              <w:t>Locating</w:t>
            </w:r>
            <w:r>
              <w:t xml:space="preserve"> a</w:t>
            </w:r>
            <w:r w:rsidRPr="004F4AFB">
              <w:t>ssets</w:t>
            </w:r>
            <w:r>
              <w:t xml:space="preserve"> </w:t>
            </w:r>
            <w:r w:rsidRPr="004F4AFB">
              <w:t>in areas that</w:t>
            </w:r>
            <w:r>
              <w:t xml:space="preserve"> </w:t>
            </w:r>
            <w:r w:rsidRPr="004F4AFB">
              <w:t>will not be</w:t>
            </w:r>
            <w:r>
              <w:t xml:space="preserve"> </w:t>
            </w:r>
            <w:r w:rsidRPr="004F4AFB">
              <w:t>vulnerable to</w:t>
            </w:r>
            <w:r>
              <w:t xml:space="preserve"> </w:t>
            </w:r>
            <w:r w:rsidRPr="004F4AFB">
              <w:t>coastal</w:t>
            </w:r>
            <w:r>
              <w:t xml:space="preserve"> </w:t>
            </w:r>
            <w:r w:rsidRPr="004F4AFB">
              <w:t>hazards</w:t>
            </w:r>
          </w:p>
        </w:tc>
        <w:tc>
          <w:tcPr>
            <w:tcW w:w="0" w:type="auto"/>
          </w:tcPr>
          <w:p w14:paraId="1E980FBE" w14:textId="77777777" w:rsidR="00CD4C64" w:rsidRDefault="00CD4C64" w:rsidP="00F65818">
            <w:pPr>
              <w:pStyle w:val="TableText"/>
            </w:pPr>
            <w:r>
              <w:t>AV</w:t>
            </w:r>
          </w:p>
        </w:tc>
        <w:tc>
          <w:tcPr>
            <w:tcW w:w="0" w:type="auto"/>
          </w:tcPr>
          <w:p w14:paraId="4AA0BF0B" w14:textId="77777777" w:rsidR="00CD4C64" w:rsidRDefault="00CD4C64" w:rsidP="00F65818">
            <w:pPr>
              <w:pStyle w:val="TableText"/>
            </w:pPr>
            <w:r w:rsidRPr="0079255D">
              <w:t>Assets will not be vulnerable</w:t>
            </w:r>
            <w:r>
              <w:t xml:space="preserve"> </w:t>
            </w:r>
            <w:r w:rsidRPr="0079255D">
              <w:t>to risk arising from coastal</w:t>
            </w:r>
            <w:r>
              <w:t xml:space="preserve"> </w:t>
            </w:r>
            <w:r w:rsidRPr="0079255D">
              <w:t>hazards.</w:t>
            </w:r>
          </w:p>
        </w:tc>
      </w:tr>
      <w:tr w:rsidR="00CD4C64" w14:paraId="3DBA9CC6" w14:textId="77777777" w:rsidTr="00F65818">
        <w:tc>
          <w:tcPr>
            <w:tcW w:w="0" w:type="auto"/>
            <w:vMerge w:val="restart"/>
          </w:tcPr>
          <w:p w14:paraId="5DFF6C57" w14:textId="77777777" w:rsidR="00CD4C64" w:rsidRDefault="00CD4C64" w:rsidP="00F65818">
            <w:pPr>
              <w:pStyle w:val="TableText"/>
            </w:pPr>
            <w:r>
              <w:t>Planned / Managed Retreat</w:t>
            </w:r>
          </w:p>
        </w:tc>
        <w:tc>
          <w:tcPr>
            <w:tcW w:w="0" w:type="auto"/>
          </w:tcPr>
          <w:p w14:paraId="2AEC3E77" w14:textId="77777777" w:rsidR="00CD4C64" w:rsidRDefault="00CD4C64" w:rsidP="00F65818">
            <w:pPr>
              <w:pStyle w:val="TableText"/>
            </w:pPr>
            <w:r>
              <w:t>Leaving assets unprotected</w:t>
            </w:r>
          </w:p>
        </w:tc>
        <w:tc>
          <w:tcPr>
            <w:tcW w:w="0" w:type="auto"/>
          </w:tcPr>
          <w:p w14:paraId="4425348C" w14:textId="77777777" w:rsidR="00CD4C64" w:rsidRDefault="00CD4C64" w:rsidP="00F65818">
            <w:pPr>
              <w:pStyle w:val="TableText"/>
            </w:pPr>
            <w:r>
              <w:t>PMR1</w:t>
            </w:r>
          </w:p>
        </w:tc>
        <w:tc>
          <w:tcPr>
            <w:tcW w:w="0" w:type="auto"/>
          </w:tcPr>
          <w:p w14:paraId="625DA61D" w14:textId="77777777" w:rsidR="00CD4C64" w:rsidRDefault="00CD4C64" w:rsidP="00F65818">
            <w:pPr>
              <w:pStyle w:val="TableText"/>
            </w:pPr>
            <w:r w:rsidRPr="0079255D">
              <w:t>Accept loss following hazard</w:t>
            </w:r>
            <w:r>
              <w:t xml:space="preserve"> </w:t>
            </w:r>
            <w:r w:rsidRPr="0079255D">
              <w:t>event. Only implement repairs</w:t>
            </w:r>
            <w:r>
              <w:t xml:space="preserve"> </w:t>
            </w:r>
            <w:r w:rsidRPr="0079255D">
              <w:t>to maintain public safety.</w:t>
            </w:r>
            <w:r>
              <w:t xml:space="preserve"> </w:t>
            </w:r>
            <w:r w:rsidRPr="0079255D">
              <w:t>Allow for retreat that allows</w:t>
            </w:r>
            <w:r>
              <w:t xml:space="preserve"> </w:t>
            </w:r>
            <w:r w:rsidRPr="0079255D">
              <w:t>natural recession of the</w:t>
            </w:r>
            <w:r>
              <w:t xml:space="preserve"> </w:t>
            </w:r>
            <w:r w:rsidRPr="0079255D">
              <w:t>shoreline over the long-term.</w:t>
            </w:r>
          </w:p>
        </w:tc>
      </w:tr>
      <w:tr w:rsidR="00CD4C64" w14:paraId="49F05B92" w14:textId="77777777" w:rsidTr="00F65818">
        <w:tc>
          <w:tcPr>
            <w:tcW w:w="0" w:type="auto"/>
            <w:vMerge/>
          </w:tcPr>
          <w:p w14:paraId="3B1D2388" w14:textId="77777777" w:rsidR="00CD4C64" w:rsidRDefault="00CD4C64" w:rsidP="00F65818">
            <w:pPr>
              <w:pStyle w:val="TableText"/>
            </w:pPr>
          </w:p>
        </w:tc>
        <w:tc>
          <w:tcPr>
            <w:tcW w:w="0" w:type="auto"/>
          </w:tcPr>
          <w:p w14:paraId="67E8FCCF" w14:textId="77777777" w:rsidR="00CD4C64" w:rsidRDefault="00CD4C64" w:rsidP="00F65818">
            <w:pPr>
              <w:pStyle w:val="TableText"/>
            </w:pPr>
            <w:r>
              <w:t>Demolition / removal / relocation of asset from inside hazard area.</w:t>
            </w:r>
          </w:p>
        </w:tc>
        <w:tc>
          <w:tcPr>
            <w:tcW w:w="0" w:type="auto"/>
          </w:tcPr>
          <w:p w14:paraId="70377A52" w14:textId="77777777" w:rsidR="00CD4C64" w:rsidRDefault="00CD4C64" w:rsidP="00F65818">
            <w:pPr>
              <w:pStyle w:val="TableText"/>
            </w:pPr>
            <w:r>
              <w:t>PMR2</w:t>
            </w:r>
          </w:p>
        </w:tc>
        <w:tc>
          <w:tcPr>
            <w:tcW w:w="0" w:type="auto"/>
          </w:tcPr>
          <w:p w14:paraId="1B5C95ED" w14:textId="77777777" w:rsidR="00CD4C64" w:rsidRDefault="00CD4C64" w:rsidP="00F65818">
            <w:pPr>
              <w:pStyle w:val="TableText"/>
            </w:pPr>
            <w:r>
              <w:t>R</w:t>
            </w:r>
            <w:r w:rsidRPr="007E4A4B">
              <w:t>elevant for assets of low</w:t>
            </w:r>
            <w:r>
              <w:t xml:space="preserve"> </w:t>
            </w:r>
            <w:r w:rsidRPr="007E4A4B">
              <w:t>value where it is impractical</w:t>
            </w:r>
            <w:r>
              <w:t xml:space="preserve"> </w:t>
            </w:r>
            <w:r w:rsidRPr="007E4A4B">
              <w:t>both technically and</w:t>
            </w:r>
            <w:r>
              <w:t xml:space="preserve"> </w:t>
            </w:r>
            <w:r w:rsidRPr="007E4A4B">
              <w:t>financially to design the asset</w:t>
            </w:r>
            <w:r>
              <w:t xml:space="preserve"> </w:t>
            </w:r>
            <w:r w:rsidRPr="007E4A4B">
              <w:t>to withstand the impact of the</w:t>
            </w:r>
            <w:r>
              <w:t xml:space="preserve"> </w:t>
            </w:r>
            <w:r w:rsidRPr="007E4A4B">
              <w:t>coastal hazards instead of</w:t>
            </w:r>
            <w:r>
              <w:t xml:space="preserve"> </w:t>
            </w:r>
            <w:r w:rsidRPr="007E4A4B">
              <w:t>relocating it.</w:t>
            </w:r>
          </w:p>
        </w:tc>
      </w:tr>
      <w:tr w:rsidR="00CD4C64" w14:paraId="28CE5D6E" w14:textId="77777777" w:rsidTr="00F65818">
        <w:tc>
          <w:tcPr>
            <w:tcW w:w="0" w:type="auto"/>
            <w:vMerge/>
          </w:tcPr>
          <w:p w14:paraId="24F5CBE7" w14:textId="77777777" w:rsidR="00CD4C64" w:rsidRDefault="00CD4C64" w:rsidP="00F65818">
            <w:pPr>
              <w:pStyle w:val="TableText"/>
            </w:pPr>
          </w:p>
        </w:tc>
        <w:tc>
          <w:tcPr>
            <w:tcW w:w="0" w:type="auto"/>
          </w:tcPr>
          <w:p w14:paraId="049C2AEC" w14:textId="77777777" w:rsidR="00CD4C64" w:rsidRDefault="00CD4C64" w:rsidP="00F65818">
            <w:pPr>
              <w:pStyle w:val="TableText"/>
            </w:pPr>
            <w:r>
              <w:t>Prevention of further development / prohibit expansion of existing use rights</w:t>
            </w:r>
          </w:p>
        </w:tc>
        <w:tc>
          <w:tcPr>
            <w:tcW w:w="0" w:type="auto"/>
          </w:tcPr>
          <w:p w14:paraId="76275694" w14:textId="77777777" w:rsidR="00CD4C64" w:rsidRDefault="00CD4C64" w:rsidP="00F65818">
            <w:pPr>
              <w:pStyle w:val="TableText"/>
            </w:pPr>
            <w:r>
              <w:t>PMR3</w:t>
            </w:r>
          </w:p>
        </w:tc>
        <w:tc>
          <w:tcPr>
            <w:tcW w:w="0" w:type="auto"/>
          </w:tcPr>
          <w:p w14:paraId="5E316A78" w14:textId="77777777" w:rsidR="00CD4C64" w:rsidRPr="007E4A4B" w:rsidRDefault="00CD4C64" w:rsidP="00F65818">
            <w:pPr>
              <w:pStyle w:val="TableText"/>
            </w:pPr>
            <w:r w:rsidRPr="007E4A4B">
              <w:t>This risk treatment option</w:t>
            </w:r>
            <w:r>
              <w:t xml:space="preserve"> </w:t>
            </w:r>
            <w:r w:rsidRPr="007E4A4B">
              <w:t>would enable existing</w:t>
            </w:r>
            <w:r>
              <w:t xml:space="preserve"> </w:t>
            </w:r>
            <w:r w:rsidRPr="007E4A4B">
              <w:t>development and use rights</w:t>
            </w:r>
            <w:r>
              <w:t xml:space="preserve"> </w:t>
            </w:r>
            <w:r w:rsidRPr="007E4A4B">
              <w:t>to continue without increasing</w:t>
            </w:r>
            <w:r>
              <w:t xml:space="preserve"> </w:t>
            </w:r>
            <w:r w:rsidRPr="007E4A4B">
              <w:t>them, until such time that risk</w:t>
            </w:r>
            <w:r>
              <w:t xml:space="preserve"> </w:t>
            </w:r>
            <w:r w:rsidRPr="007E4A4B">
              <w:t>arising from coastal hazards</w:t>
            </w:r>
            <w:r>
              <w:t xml:space="preserve"> </w:t>
            </w:r>
            <w:r w:rsidRPr="007E4A4B">
              <w:t>is intolerable. Specified in a</w:t>
            </w:r>
            <w:r>
              <w:t xml:space="preserve"> </w:t>
            </w:r>
            <w:r w:rsidRPr="007E4A4B">
              <w:t>local planning scheme.</w:t>
            </w:r>
          </w:p>
        </w:tc>
      </w:tr>
      <w:tr w:rsidR="00CD4C64" w14:paraId="68FF5348" w14:textId="77777777" w:rsidTr="00F65818">
        <w:tc>
          <w:tcPr>
            <w:tcW w:w="0" w:type="auto"/>
            <w:vMerge/>
          </w:tcPr>
          <w:p w14:paraId="0FE304A7" w14:textId="77777777" w:rsidR="00CD4C64" w:rsidRDefault="00CD4C64" w:rsidP="00F65818">
            <w:pPr>
              <w:pStyle w:val="TableText"/>
            </w:pPr>
          </w:p>
        </w:tc>
        <w:tc>
          <w:tcPr>
            <w:tcW w:w="0" w:type="auto"/>
          </w:tcPr>
          <w:p w14:paraId="13363D48" w14:textId="77777777" w:rsidR="00CD4C64" w:rsidRDefault="00CD4C64" w:rsidP="00F65818">
            <w:pPr>
              <w:pStyle w:val="TableText"/>
            </w:pPr>
            <w:r>
              <w:t>Voluntary acquisition</w:t>
            </w:r>
          </w:p>
        </w:tc>
        <w:tc>
          <w:tcPr>
            <w:tcW w:w="0" w:type="auto"/>
          </w:tcPr>
          <w:p w14:paraId="22D9B8FE" w14:textId="77777777" w:rsidR="00CD4C64" w:rsidRDefault="00CD4C64" w:rsidP="00F65818">
            <w:pPr>
              <w:pStyle w:val="TableText"/>
            </w:pPr>
            <w:r>
              <w:t>PMR4</w:t>
            </w:r>
          </w:p>
        </w:tc>
        <w:tc>
          <w:tcPr>
            <w:tcW w:w="0" w:type="auto"/>
          </w:tcPr>
          <w:p w14:paraId="159AA6D7" w14:textId="77777777" w:rsidR="00CD4C64" w:rsidRDefault="00CD4C64" w:rsidP="00F65818">
            <w:pPr>
              <w:pStyle w:val="TableText"/>
            </w:pPr>
            <w:r w:rsidRPr="00AD0E0B">
              <w:t>This risk treatment option</w:t>
            </w:r>
            <w:r>
              <w:t xml:space="preserve"> </w:t>
            </w:r>
            <w:r w:rsidRPr="00AD0E0B">
              <w:t>would require the acquisition</w:t>
            </w:r>
            <w:r>
              <w:t xml:space="preserve"> </w:t>
            </w:r>
            <w:r w:rsidRPr="00AD0E0B">
              <w:t>of affected properties, on a</w:t>
            </w:r>
            <w:r>
              <w:t xml:space="preserve"> </w:t>
            </w:r>
            <w:r w:rsidRPr="00AD0E0B">
              <w:t>voluntary basis.</w:t>
            </w:r>
          </w:p>
        </w:tc>
      </w:tr>
      <w:tr w:rsidR="00CD4C64" w14:paraId="793754DA" w14:textId="77777777" w:rsidTr="00F65818">
        <w:tc>
          <w:tcPr>
            <w:tcW w:w="0" w:type="auto"/>
          </w:tcPr>
          <w:p w14:paraId="262ACE72" w14:textId="77777777" w:rsidR="00CD4C64" w:rsidRDefault="00CD4C64" w:rsidP="00F65818">
            <w:pPr>
              <w:pStyle w:val="TableText"/>
            </w:pPr>
            <w:r>
              <w:t>Accommodate</w:t>
            </w:r>
          </w:p>
        </w:tc>
        <w:tc>
          <w:tcPr>
            <w:tcW w:w="0" w:type="auto"/>
          </w:tcPr>
          <w:p w14:paraId="533EA45C" w14:textId="77777777" w:rsidR="00CD4C64" w:rsidRDefault="00CD4C64" w:rsidP="00F65818">
            <w:pPr>
              <w:pStyle w:val="TableText"/>
            </w:pPr>
            <w:r>
              <w:t>Design assets to withstand impacts</w:t>
            </w:r>
          </w:p>
        </w:tc>
        <w:tc>
          <w:tcPr>
            <w:tcW w:w="0" w:type="auto"/>
          </w:tcPr>
          <w:p w14:paraId="25343910" w14:textId="77777777" w:rsidR="00CD4C64" w:rsidRDefault="00CD4C64" w:rsidP="00F65818">
            <w:pPr>
              <w:pStyle w:val="TableText"/>
            </w:pPr>
            <w:r>
              <w:t>AC1</w:t>
            </w:r>
          </w:p>
        </w:tc>
        <w:tc>
          <w:tcPr>
            <w:tcW w:w="0" w:type="auto"/>
          </w:tcPr>
          <w:p w14:paraId="5F7DD3E8" w14:textId="77777777" w:rsidR="00CD4C64" w:rsidRDefault="00CD4C64" w:rsidP="00F65818">
            <w:pPr>
              <w:pStyle w:val="TableText"/>
            </w:pPr>
            <w:r w:rsidRPr="00AD0E0B">
              <w:t>Where avoiding or relocating</w:t>
            </w:r>
            <w:r>
              <w:t xml:space="preserve"> </w:t>
            </w:r>
            <w:r w:rsidRPr="00AD0E0B">
              <w:t>an asset is not an option,</w:t>
            </w:r>
            <w:r>
              <w:t xml:space="preserve"> </w:t>
            </w:r>
            <w:r w:rsidRPr="00AD0E0B">
              <w:t>design of assets to</w:t>
            </w:r>
            <w:r>
              <w:t xml:space="preserve"> </w:t>
            </w:r>
            <w:r w:rsidRPr="00AD0E0B">
              <w:t>withstand the impact of</w:t>
            </w:r>
            <w:r>
              <w:t xml:space="preserve"> </w:t>
            </w:r>
            <w:r w:rsidRPr="00AD0E0B">
              <w:t>inundation.</w:t>
            </w:r>
          </w:p>
        </w:tc>
      </w:tr>
      <w:tr w:rsidR="00CD4C64" w14:paraId="6A4458CC" w14:textId="77777777" w:rsidTr="00F65818">
        <w:tc>
          <w:tcPr>
            <w:tcW w:w="0" w:type="auto"/>
            <w:vMerge w:val="restart"/>
          </w:tcPr>
          <w:p w14:paraId="5ABF2CC6" w14:textId="77777777" w:rsidR="00CD4C64" w:rsidRDefault="00CD4C64" w:rsidP="00F65818">
            <w:pPr>
              <w:pStyle w:val="TableText"/>
            </w:pPr>
            <w:r>
              <w:t>Protect</w:t>
            </w:r>
          </w:p>
        </w:tc>
        <w:tc>
          <w:tcPr>
            <w:tcW w:w="0" w:type="auto"/>
          </w:tcPr>
          <w:p w14:paraId="73259240" w14:textId="77777777" w:rsidR="00CD4C64" w:rsidRDefault="00CD4C64" w:rsidP="00F65818">
            <w:pPr>
              <w:pStyle w:val="TableText"/>
            </w:pPr>
            <w:r>
              <w:t>Beach nourishment or replenishment</w:t>
            </w:r>
          </w:p>
        </w:tc>
        <w:tc>
          <w:tcPr>
            <w:tcW w:w="0" w:type="auto"/>
          </w:tcPr>
          <w:p w14:paraId="036897CA" w14:textId="77777777" w:rsidR="00CD4C64" w:rsidRDefault="00CD4C64" w:rsidP="00F65818">
            <w:pPr>
              <w:pStyle w:val="TableText"/>
            </w:pPr>
            <w:r>
              <w:t>PR1</w:t>
            </w:r>
          </w:p>
        </w:tc>
        <w:tc>
          <w:tcPr>
            <w:tcW w:w="0" w:type="auto"/>
          </w:tcPr>
          <w:p w14:paraId="5E93E1A5" w14:textId="77777777" w:rsidR="00CD4C64" w:rsidRDefault="00CD4C64" w:rsidP="00F65818">
            <w:pPr>
              <w:pStyle w:val="TableText"/>
            </w:pPr>
            <w:r>
              <w:t>P</w:t>
            </w:r>
            <w:r w:rsidRPr="00AD0E0B">
              <w:t>lacement of</w:t>
            </w:r>
            <w:r>
              <w:t xml:space="preserve"> </w:t>
            </w:r>
            <w:r w:rsidRPr="00AD0E0B">
              <w:t xml:space="preserve">sand </w:t>
            </w:r>
            <w:r>
              <w:t>within</w:t>
            </w:r>
            <w:r w:rsidRPr="00AD0E0B">
              <w:t xml:space="preserve"> </w:t>
            </w:r>
            <w:r>
              <w:t xml:space="preserve">the </w:t>
            </w:r>
            <w:r w:rsidRPr="00AD0E0B">
              <w:t>beach</w:t>
            </w:r>
            <w:r>
              <w:t xml:space="preserve"> profile</w:t>
            </w:r>
            <w:r w:rsidRPr="00AD0E0B">
              <w:t xml:space="preserve"> and</w:t>
            </w:r>
            <w:r>
              <w:t>/or</w:t>
            </w:r>
            <w:r w:rsidRPr="00AD0E0B">
              <w:t xml:space="preserve"> dunes to </w:t>
            </w:r>
            <w:r>
              <w:t>activate beach coastal processes</w:t>
            </w:r>
            <w:r w:rsidRPr="00AD0E0B">
              <w:t xml:space="preserve"> and provide a</w:t>
            </w:r>
            <w:r>
              <w:t xml:space="preserve"> </w:t>
            </w:r>
            <w:r w:rsidRPr="00AD0E0B">
              <w:t>sediment</w:t>
            </w:r>
            <w:r>
              <w:t xml:space="preserve"> </w:t>
            </w:r>
            <w:r w:rsidRPr="00AD0E0B">
              <w:t>supply.</w:t>
            </w:r>
          </w:p>
        </w:tc>
      </w:tr>
      <w:tr w:rsidR="00CD4C64" w14:paraId="5C9E7505" w14:textId="77777777" w:rsidTr="00F65818">
        <w:tc>
          <w:tcPr>
            <w:tcW w:w="0" w:type="auto"/>
            <w:vMerge/>
          </w:tcPr>
          <w:p w14:paraId="5B0F6C7D" w14:textId="77777777" w:rsidR="00CD4C64" w:rsidRDefault="00CD4C64" w:rsidP="00F65818">
            <w:pPr>
              <w:pStyle w:val="TableText"/>
            </w:pPr>
          </w:p>
        </w:tc>
        <w:tc>
          <w:tcPr>
            <w:tcW w:w="0" w:type="auto"/>
          </w:tcPr>
          <w:p w14:paraId="79C1E434" w14:textId="77777777" w:rsidR="00CD4C64" w:rsidRDefault="00CD4C64" w:rsidP="00F65818">
            <w:pPr>
              <w:pStyle w:val="TableText"/>
            </w:pPr>
            <w:r>
              <w:t>Groyne</w:t>
            </w:r>
          </w:p>
        </w:tc>
        <w:tc>
          <w:tcPr>
            <w:tcW w:w="0" w:type="auto"/>
          </w:tcPr>
          <w:p w14:paraId="1E5C9534" w14:textId="77777777" w:rsidR="00CD4C64" w:rsidRDefault="00CD4C64" w:rsidP="00F65818">
            <w:pPr>
              <w:pStyle w:val="TableText"/>
            </w:pPr>
            <w:r>
              <w:t>PR2</w:t>
            </w:r>
          </w:p>
        </w:tc>
        <w:tc>
          <w:tcPr>
            <w:tcW w:w="0" w:type="auto"/>
          </w:tcPr>
          <w:p w14:paraId="60D4BE89" w14:textId="77777777" w:rsidR="00CD4C64" w:rsidRDefault="00CD4C64" w:rsidP="00F65818">
            <w:pPr>
              <w:pStyle w:val="TableText"/>
            </w:pPr>
            <w:r>
              <w:t>C</w:t>
            </w:r>
            <w:r w:rsidRPr="00AD0E0B">
              <w:t>onstruction of</w:t>
            </w:r>
            <w:r>
              <w:t xml:space="preserve"> </w:t>
            </w:r>
            <w:r w:rsidRPr="00AD0E0B">
              <w:t>groynes to stop or restrict the</w:t>
            </w:r>
            <w:r>
              <w:t xml:space="preserve"> </w:t>
            </w:r>
            <w:r w:rsidRPr="00AD0E0B">
              <w:t>movement of sand around</w:t>
            </w:r>
            <w:r>
              <w:t xml:space="preserve"> </w:t>
            </w:r>
            <w:r w:rsidRPr="00AD0E0B">
              <w:t>the end of the structure, to</w:t>
            </w:r>
            <w:r>
              <w:t xml:space="preserve"> </w:t>
            </w:r>
            <w:r w:rsidRPr="00AD0E0B">
              <w:t>provide protection to assets</w:t>
            </w:r>
            <w:r>
              <w:t xml:space="preserve"> </w:t>
            </w:r>
            <w:r w:rsidRPr="00AD0E0B">
              <w:t>behind the beach/foreshore</w:t>
            </w:r>
            <w:r>
              <w:t xml:space="preserve"> </w:t>
            </w:r>
            <w:r w:rsidRPr="00AD0E0B">
              <w:t>reserve. They are</w:t>
            </w:r>
            <w:r>
              <w:t xml:space="preserve"> </w:t>
            </w:r>
            <w:r w:rsidRPr="00AD0E0B">
              <w:t>primarily</w:t>
            </w:r>
            <w:r>
              <w:t xml:space="preserve"> </w:t>
            </w:r>
            <w:r w:rsidRPr="00AD0E0B">
              <w:t>effective where there is</w:t>
            </w:r>
            <w:r>
              <w:t xml:space="preserve"> </w:t>
            </w:r>
            <w:r w:rsidRPr="00AD0E0B">
              <w:t>longshore sand supply</w:t>
            </w:r>
            <w:r>
              <w:t xml:space="preserve"> or when partnered with sand nourishment</w:t>
            </w:r>
            <w:r w:rsidRPr="00AD0E0B">
              <w:t>.</w:t>
            </w:r>
          </w:p>
        </w:tc>
      </w:tr>
      <w:tr w:rsidR="00CD4C64" w14:paraId="17A4188E" w14:textId="77777777" w:rsidTr="00F65818">
        <w:tc>
          <w:tcPr>
            <w:tcW w:w="0" w:type="auto"/>
            <w:vMerge/>
          </w:tcPr>
          <w:p w14:paraId="45FC2632" w14:textId="77777777" w:rsidR="00CD4C64" w:rsidRDefault="00CD4C64" w:rsidP="00F65818">
            <w:pPr>
              <w:pStyle w:val="TableText"/>
            </w:pPr>
          </w:p>
        </w:tc>
        <w:tc>
          <w:tcPr>
            <w:tcW w:w="0" w:type="auto"/>
          </w:tcPr>
          <w:p w14:paraId="75521CC9" w14:textId="77777777" w:rsidR="00CD4C64" w:rsidRDefault="00CD4C64" w:rsidP="00F65818">
            <w:pPr>
              <w:pStyle w:val="TableText"/>
            </w:pPr>
            <w:r>
              <w:t>Seawall</w:t>
            </w:r>
          </w:p>
        </w:tc>
        <w:tc>
          <w:tcPr>
            <w:tcW w:w="0" w:type="auto"/>
          </w:tcPr>
          <w:p w14:paraId="6A2735F1" w14:textId="77777777" w:rsidR="00CD4C64" w:rsidRDefault="00CD4C64" w:rsidP="00F65818">
            <w:pPr>
              <w:pStyle w:val="TableText"/>
            </w:pPr>
            <w:r>
              <w:t>PR3</w:t>
            </w:r>
          </w:p>
        </w:tc>
        <w:tc>
          <w:tcPr>
            <w:tcW w:w="0" w:type="auto"/>
          </w:tcPr>
          <w:p w14:paraId="7D4D402E" w14:textId="77777777" w:rsidR="00CD4C64" w:rsidRDefault="00CD4C64" w:rsidP="00F65818">
            <w:pPr>
              <w:pStyle w:val="TableText"/>
            </w:pPr>
            <w:r>
              <w:t>C</w:t>
            </w:r>
            <w:r w:rsidRPr="00AD0E0B">
              <w:t>onstruction of a</w:t>
            </w:r>
            <w:r>
              <w:t xml:space="preserve"> </w:t>
            </w:r>
            <w:r w:rsidRPr="00AD0E0B">
              <w:t>seawall usually along an</w:t>
            </w:r>
            <w:r>
              <w:t xml:space="preserve"> </w:t>
            </w:r>
            <w:r w:rsidRPr="00AD0E0B">
              <w:t>entire section of shoreline.</w:t>
            </w:r>
            <w:r>
              <w:t xml:space="preserve"> </w:t>
            </w:r>
            <w:r w:rsidRPr="00AD0E0B">
              <w:t>Where a beach is to be</w:t>
            </w:r>
            <w:r>
              <w:t xml:space="preserve"> </w:t>
            </w:r>
            <w:r w:rsidRPr="00AD0E0B">
              <w:t>retained, this risk</w:t>
            </w:r>
            <w:r>
              <w:t xml:space="preserve"> </w:t>
            </w:r>
            <w:r w:rsidRPr="00AD0E0B">
              <w:t>treatment</w:t>
            </w:r>
            <w:r>
              <w:t xml:space="preserve"> </w:t>
            </w:r>
            <w:r w:rsidRPr="00AD0E0B">
              <w:t>option should generally</w:t>
            </w:r>
            <w:r>
              <w:t xml:space="preserve"> </w:t>
            </w:r>
            <w:r w:rsidRPr="00AD0E0B">
              <w:t>be accompanied with</w:t>
            </w:r>
            <w:r>
              <w:t xml:space="preserve"> </w:t>
            </w:r>
            <w:r w:rsidRPr="00AD0E0B">
              <w:t>beach nourishment or</w:t>
            </w:r>
            <w:r>
              <w:t xml:space="preserve"> </w:t>
            </w:r>
            <w:r w:rsidRPr="00AD0E0B">
              <w:t>replenishment.</w:t>
            </w:r>
          </w:p>
        </w:tc>
      </w:tr>
      <w:tr w:rsidR="00CD4C64" w14:paraId="2FD288D0" w14:textId="77777777" w:rsidTr="00F65818">
        <w:tc>
          <w:tcPr>
            <w:tcW w:w="0" w:type="auto"/>
            <w:vMerge/>
          </w:tcPr>
          <w:p w14:paraId="0D4EAC2C" w14:textId="77777777" w:rsidR="00CD4C64" w:rsidRDefault="00CD4C64" w:rsidP="00F65818">
            <w:pPr>
              <w:pStyle w:val="TableText"/>
            </w:pPr>
          </w:p>
        </w:tc>
        <w:tc>
          <w:tcPr>
            <w:tcW w:w="0" w:type="auto"/>
          </w:tcPr>
          <w:p w14:paraId="1E2FCA62" w14:textId="77777777" w:rsidR="00CD4C64" w:rsidRDefault="00CD4C64" w:rsidP="00F65818">
            <w:pPr>
              <w:pStyle w:val="TableText"/>
            </w:pPr>
            <w:r>
              <w:t>Artificial reef</w:t>
            </w:r>
          </w:p>
        </w:tc>
        <w:tc>
          <w:tcPr>
            <w:tcW w:w="0" w:type="auto"/>
          </w:tcPr>
          <w:p w14:paraId="2A73E67F" w14:textId="77777777" w:rsidR="00CD4C64" w:rsidRDefault="00CD4C64" w:rsidP="00F65818">
            <w:pPr>
              <w:pStyle w:val="TableText"/>
            </w:pPr>
            <w:r>
              <w:t>PR4</w:t>
            </w:r>
          </w:p>
        </w:tc>
        <w:tc>
          <w:tcPr>
            <w:tcW w:w="0" w:type="auto"/>
          </w:tcPr>
          <w:p w14:paraId="3B5E6842" w14:textId="77777777" w:rsidR="00CD4C64" w:rsidRDefault="00CD4C64" w:rsidP="00F65818">
            <w:pPr>
              <w:pStyle w:val="TableText"/>
            </w:pPr>
            <w:r>
              <w:t>C</w:t>
            </w:r>
            <w:r w:rsidRPr="00AD0E0B">
              <w:t>onstruction of a</w:t>
            </w:r>
            <w:r>
              <w:t xml:space="preserve"> </w:t>
            </w:r>
            <w:r w:rsidRPr="00AD0E0B">
              <w:t>submerged artificial reef off</w:t>
            </w:r>
            <w:r>
              <w:t>shore</w:t>
            </w:r>
            <w:r w:rsidRPr="00AD0E0B">
              <w:t>, to</w:t>
            </w:r>
            <w:r>
              <w:t xml:space="preserve"> </w:t>
            </w:r>
            <w:r w:rsidRPr="00AD0E0B">
              <w:t>dissipate wave</w:t>
            </w:r>
            <w:r>
              <w:t xml:space="preserve"> </w:t>
            </w:r>
            <w:r w:rsidRPr="00AD0E0B">
              <w:t>energy impacting the shore</w:t>
            </w:r>
            <w:r>
              <w:t xml:space="preserve"> </w:t>
            </w:r>
            <w:r w:rsidRPr="00AD0E0B">
              <w:t>by causing</w:t>
            </w:r>
            <w:r>
              <w:t xml:space="preserve"> </w:t>
            </w:r>
            <w:r w:rsidRPr="00AD0E0B">
              <w:t>waves to break</w:t>
            </w:r>
            <w:r>
              <w:t xml:space="preserve"> </w:t>
            </w:r>
            <w:r w:rsidRPr="00AD0E0B">
              <w:t>on their seaward side and</w:t>
            </w:r>
            <w:r>
              <w:t xml:space="preserve"> </w:t>
            </w:r>
            <w:r w:rsidRPr="00AD0E0B">
              <w:t>reducing wave</w:t>
            </w:r>
            <w:r>
              <w:t xml:space="preserve"> </w:t>
            </w:r>
            <w:r w:rsidRPr="00AD0E0B">
              <w:t>energy on the</w:t>
            </w:r>
            <w:r>
              <w:t xml:space="preserve"> </w:t>
            </w:r>
            <w:r w:rsidRPr="00AD0E0B">
              <w:t>leeward side.</w:t>
            </w:r>
            <w:r>
              <w:t xml:space="preserve"> </w:t>
            </w:r>
            <w:r w:rsidRPr="00AD0E0B">
              <w:t>Artificial reefs do not block</w:t>
            </w:r>
            <w:r>
              <w:t xml:space="preserve"> </w:t>
            </w:r>
            <w:r w:rsidRPr="00AD0E0B">
              <w:t>waves and during storm</w:t>
            </w:r>
            <w:r>
              <w:t xml:space="preserve"> </w:t>
            </w:r>
            <w:r w:rsidRPr="00AD0E0B">
              <w:t>events water depths o</w:t>
            </w:r>
            <w:r>
              <w:t>ver</w:t>
            </w:r>
            <w:r w:rsidRPr="00AD0E0B">
              <w:t xml:space="preserve"> the</w:t>
            </w:r>
            <w:r>
              <w:t xml:space="preserve"> </w:t>
            </w:r>
            <w:r w:rsidRPr="00AD0E0B">
              <w:t>reef may be sufficient to</w:t>
            </w:r>
            <w:r>
              <w:t xml:space="preserve"> </w:t>
            </w:r>
            <w:r w:rsidRPr="00AD0E0B">
              <w:t>allow waves to pass over</w:t>
            </w:r>
            <w:r>
              <w:t xml:space="preserve"> </w:t>
            </w:r>
            <w:r w:rsidRPr="00AD0E0B">
              <w:t>the reef without breaking,</w:t>
            </w:r>
            <w:r>
              <w:t xml:space="preserve"> </w:t>
            </w:r>
            <w:r w:rsidRPr="00AD0E0B">
              <w:t>reducing their effectiveness</w:t>
            </w:r>
            <w:r>
              <w:t xml:space="preserve"> </w:t>
            </w:r>
            <w:r w:rsidRPr="00AD0E0B">
              <w:t>in protecting the beach from</w:t>
            </w:r>
            <w:r>
              <w:t xml:space="preserve"> </w:t>
            </w:r>
            <w:r w:rsidRPr="00AD0E0B">
              <w:t>erosion.</w:t>
            </w:r>
          </w:p>
        </w:tc>
      </w:tr>
      <w:tr w:rsidR="00CD4C64" w14:paraId="128FC7C1" w14:textId="77777777" w:rsidTr="00F65818">
        <w:tc>
          <w:tcPr>
            <w:tcW w:w="0" w:type="auto"/>
            <w:vMerge/>
          </w:tcPr>
          <w:p w14:paraId="3AD76F6D" w14:textId="77777777" w:rsidR="00CD4C64" w:rsidRDefault="00CD4C64" w:rsidP="00F65818">
            <w:pPr>
              <w:pStyle w:val="TableText"/>
            </w:pPr>
          </w:p>
        </w:tc>
        <w:tc>
          <w:tcPr>
            <w:tcW w:w="0" w:type="auto"/>
          </w:tcPr>
          <w:p w14:paraId="75DA7698" w14:textId="77777777" w:rsidR="00CD4C64" w:rsidRDefault="00CD4C64" w:rsidP="00F65818">
            <w:pPr>
              <w:pStyle w:val="TableText"/>
            </w:pPr>
            <w:r>
              <w:t>Offshore breakwater</w:t>
            </w:r>
          </w:p>
        </w:tc>
        <w:tc>
          <w:tcPr>
            <w:tcW w:w="0" w:type="auto"/>
          </w:tcPr>
          <w:p w14:paraId="5904A8CB" w14:textId="77777777" w:rsidR="00CD4C64" w:rsidRDefault="00CD4C64" w:rsidP="00F65818">
            <w:pPr>
              <w:pStyle w:val="TableText"/>
            </w:pPr>
            <w:r>
              <w:t>PR5</w:t>
            </w:r>
          </w:p>
        </w:tc>
        <w:tc>
          <w:tcPr>
            <w:tcW w:w="0" w:type="auto"/>
          </w:tcPr>
          <w:p w14:paraId="22CC4C17" w14:textId="77777777" w:rsidR="00CD4C64" w:rsidRDefault="00CD4C64" w:rsidP="00F65818">
            <w:pPr>
              <w:pStyle w:val="TableText"/>
            </w:pPr>
            <w:r>
              <w:t>C</w:t>
            </w:r>
            <w:r w:rsidRPr="00AD0E0B">
              <w:t>onstruction</w:t>
            </w:r>
            <w:r>
              <w:t xml:space="preserve"> </w:t>
            </w:r>
            <w:r w:rsidRPr="00AD0E0B">
              <w:t>of an emergent offshore</w:t>
            </w:r>
            <w:r>
              <w:t xml:space="preserve"> </w:t>
            </w:r>
            <w:r w:rsidRPr="00AD0E0B">
              <w:t>barrier (often referred to as an</w:t>
            </w:r>
            <w:r>
              <w:t xml:space="preserve"> </w:t>
            </w:r>
            <w:r w:rsidRPr="00AD0E0B">
              <w:t>offshore breakwater). Offshore</w:t>
            </w:r>
            <w:r>
              <w:t xml:space="preserve"> </w:t>
            </w:r>
            <w:r w:rsidRPr="00AD0E0B">
              <w:t>breakwaters</w:t>
            </w:r>
            <w:r>
              <w:t xml:space="preserve"> </w:t>
            </w:r>
            <w:r w:rsidRPr="00AD0E0B">
              <w:t>effectively block</w:t>
            </w:r>
            <w:r>
              <w:t xml:space="preserve"> </w:t>
            </w:r>
            <w:r w:rsidRPr="00AD0E0B">
              <w:t>wave energy by absorbing</w:t>
            </w:r>
            <w:r>
              <w:t xml:space="preserve"> </w:t>
            </w:r>
            <w:r w:rsidRPr="00AD0E0B">
              <w:t>wave impact on their seaward</w:t>
            </w:r>
            <w:r>
              <w:t xml:space="preserve"> </w:t>
            </w:r>
            <w:r w:rsidRPr="00AD0E0B">
              <w:t>side. They create a lower</w:t>
            </w:r>
            <w:r>
              <w:t xml:space="preserve"> </w:t>
            </w:r>
            <w:r w:rsidRPr="00AD0E0B">
              <w:t>wave energy</w:t>
            </w:r>
            <w:r>
              <w:t xml:space="preserve"> </w:t>
            </w:r>
            <w:r w:rsidRPr="00AD0E0B">
              <w:t>section of beach</w:t>
            </w:r>
            <w:r>
              <w:t xml:space="preserve"> </w:t>
            </w:r>
            <w:r w:rsidRPr="00AD0E0B">
              <w:t>immediately in its lee, which</w:t>
            </w:r>
            <w:r>
              <w:t xml:space="preserve"> </w:t>
            </w:r>
            <w:r w:rsidRPr="00AD0E0B">
              <w:t>is</w:t>
            </w:r>
            <w:r>
              <w:t xml:space="preserve"> </w:t>
            </w:r>
            <w:r w:rsidRPr="00AD0E0B">
              <w:t>characterised by a salient</w:t>
            </w:r>
            <w:r>
              <w:t xml:space="preserve"> </w:t>
            </w:r>
            <w:r w:rsidRPr="00AD0E0B">
              <w:t>where sand accretes in the</w:t>
            </w:r>
            <w:r>
              <w:t xml:space="preserve"> </w:t>
            </w:r>
            <w:r w:rsidRPr="00AD0E0B">
              <w:t>low energy environment</w:t>
            </w:r>
            <w:r>
              <w:t>.</w:t>
            </w:r>
          </w:p>
        </w:tc>
      </w:tr>
      <w:tr w:rsidR="00CD4C64" w14:paraId="4A1F78CE" w14:textId="77777777" w:rsidTr="00F65818">
        <w:tc>
          <w:tcPr>
            <w:tcW w:w="0" w:type="auto"/>
            <w:vMerge/>
          </w:tcPr>
          <w:p w14:paraId="30EEEFD6" w14:textId="77777777" w:rsidR="00CD4C64" w:rsidRDefault="00CD4C64" w:rsidP="00F65818">
            <w:pPr>
              <w:pStyle w:val="TableText"/>
            </w:pPr>
          </w:p>
        </w:tc>
        <w:tc>
          <w:tcPr>
            <w:tcW w:w="0" w:type="auto"/>
          </w:tcPr>
          <w:p w14:paraId="5973AB79" w14:textId="63E76AF3" w:rsidR="00CD4C64" w:rsidRDefault="00CD4C64" w:rsidP="00F65818">
            <w:pPr>
              <w:pStyle w:val="TableText"/>
            </w:pPr>
            <w:r w:rsidRPr="00470B49">
              <w:t>Lev</w:t>
            </w:r>
            <w:r>
              <w:t>ee</w:t>
            </w:r>
            <w:r w:rsidRPr="00470B49">
              <w:t xml:space="preserve"> </w:t>
            </w:r>
          </w:p>
        </w:tc>
        <w:tc>
          <w:tcPr>
            <w:tcW w:w="0" w:type="auto"/>
          </w:tcPr>
          <w:p w14:paraId="45862CC7" w14:textId="77777777" w:rsidR="00CD4C64" w:rsidRDefault="00CD4C64" w:rsidP="00F65818">
            <w:pPr>
              <w:pStyle w:val="TableText"/>
            </w:pPr>
            <w:r>
              <w:t>PR6</w:t>
            </w:r>
          </w:p>
        </w:tc>
        <w:tc>
          <w:tcPr>
            <w:tcW w:w="0" w:type="auto"/>
          </w:tcPr>
          <w:p w14:paraId="4770B6BE" w14:textId="34FB5D74" w:rsidR="00CD4C64" w:rsidRDefault="00CD4C64" w:rsidP="00F65818">
            <w:pPr>
              <w:pStyle w:val="TableText"/>
            </w:pPr>
            <w:r>
              <w:t>I</w:t>
            </w:r>
            <w:r w:rsidRPr="00470B49">
              <w:t xml:space="preserve">nundation protection </w:t>
            </w:r>
            <w:r w:rsidR="00C645B8">
              <w:t xml:space="preserve">using a levee </w:t>
            </w:r>
            <w:r w:rsidRPr="00470B49">
              <w:t>to minimise inundation on low-lying land</w:t>
            </w:r>
            <w:r>
              <w:t>.</w:t>
            </w:r>
          </w:p>
        </w:tc>
      </w:tr>
      <w:tr w:rsidR="00CD4C64" w14:paraId="60ED316D" w14:textId="77777777" w:rsidTr="00F65818">
        <w:tc>
          <w:tcPr>
            <w:tcW w:w="0" w:type="auto"/>
            <w:vMerge w:val="restart"/>
          </w:tcPr>
          <w:p w14:paraId="346A5240" w14:textId="77777777" w:rsidR="00CD4C64" w:rsidRDefault="00CD4C64" w:rsidP="00F65818">
            <w:pPr>
              <w:pStyle w:val="TableText"/>
            </w:pPr>
            <w:r>
              <w:t>No Regrets</w:t>
            </w:r>
          </w:p>
        </w:tc>
        <w:tc>
          <w:tcPr>
            <w:tcW w:w="0" w:type="auto"/>
          </w:tcPr>
          <w:p w14:paraId="6DE22BCD" w14:textId="77777777" w:rsidR="00CD4C64" w:rsidRDefault="00CD4C64" w:rsidP="00F65818">
            <w:pPr>
              <w:pStyle w:val="TableText"/>
            </w:pPr>
            <w:r>
              <w:t>Monitoring</w:t>
            </w:r>
          </w:p>
        </w:tc>
        <w:tc>
          <w:tcPr>
            <w:tcW w:w="0" w:type="auto"/>
          </w:tcPr>
          <w:p w14:paraId="18B74D6A" w14:textId="77777777" w:rsidR="00CD4C64" w:rsidRDefault="00CD4C64" w:rsidP="00F65818">
            <w:pPr>
              <w:pStyle w:val="TableText"/>
            </w:pPr>
            <w:r>
              <w:t>NR1</w:t>
            </w:r>
          </w:p>
        </w:tc>
        <w:tc>
          <w:tcPr>
            <w:tcW w:w="0" w:type="auto"/>
          </w:tcPr>
          <w:p w14:paraId="4B218B63" w14:textId="77777777" w:rsidR="00CD4C64" w:rsidRDefault="00CD4C64" w:rsidP="00F65818">
            <w:pPr>
              <w:pStyle w:val="TableText"/>
            </w:pPr>
            <w:r>
              <w:t>I</w:t>
            </w:r>
            <w:r w:rsidRPr="005C3F9F">
              <w:t>nvolves long</w:t>
            </w:r>
            <w:r>
              <w:t>-</w:t>
            </w:r>
            <w:r w:rsidRPr="005C3F9F">
              <w:t>term baseline</w:t>
            </w:r>
            <w:r>
              <w:t xml:space="preserve"> </w:t>
            </w:r>
            <w:r w:rsidRPr="005C3F9F">
              <w:t>monitoring and event-based</w:t>
            </w:r>
            <w:r>
              <w:t xml:space="preserve"> </w:t>
            </w:r>
            <w:r w:rsidRPr="005C3F9F">
              <w:t>monitoring following storm</w:t>
            </w:r>
            <w:r>
              <w:t xml:space="preserve"> </w:t>
            </w:r>
            <w:r w:rsidRPr="005C3F9F">
              <w:t>erosion events.</w:t>
            </w:r>
          </w:p>
        </w:tc>
      </w:tr>
      <w:tr w:rsidR="00CD4C64" w14:paraId="4B4EB771" w14:textId="77777777" w:rsidTr="00F65818">
        <w:tc>
          <w:tcPr>
            <w:tcW w:w="0" w:type="auto"/>
            <w:vMerge/>
          </w:tcPr>
          <w:p w14:paraId="068E01FC" w14:textId="77777777" w:rsidR="00CD4C64" w:rsidRDefault="00CD4C64" w:rsidP="00F65818">
            <w:pPr>
              <w:pStyle w:val="TableText"/>
            </w:pPr>
          </w:p>
        </w:tc>
        <w:tc>
          <w:tcPr>
            <w:tcW w:w="0" w:type="auto"/>
          </w:tcPr>
          <w:p w14:paraId="10EEDCCB" w14:textId="77777777" w:rsidR="00CD4C64" w:rsidRDefault="00CD4C64" w:rsidP="00F65818">
            <w:pPr>
              <w:pStyle w:val="TableText"/>
            </w:pPr>
            <w:r>
              <w:t>Protection Structure Audit</w:t>
            </w:r>
          </w:p>
        </w:tc>
        <w:tc>
          <w:tcPr>
            <w:tcW w:w="0" w:type="auto"/>
          </w:tcPr>
          <w:p w14:paraId="36990CB9" w14:textId="77777777" w:rsidR="00CD4C64" w:rsidRDefault="00CD4C64" w:rsidP="00F65818">
            <w:pPr>
              <w:pStyle w:val="TableText"/>
            </w:pPr>
            <w:r>
              <w:t>NR2</w:t>
            </w:r>
          </w:p>
        </w:tc>
        <w:tc>
          <w:tcPr>
            <w:tcW w:w="0" w:type="auto"/>
          </w:tcPr>
          <w:p w14:paraId="2889D8CB" w14:textId="77777777" w:rsidR="00CD4C64" w:rsidRDefault="00CD4C64" w:rsidP="00F65818">
            <w:pPr>
              <w:pStyle w:val="TableText"/>
            </w:pPr>
            <w:r>
              <w:t>I</w:t>
            </w:r>
            <w:r w:rsidRPr="005C3F9F">
              <w:t>nvolves undertaking an</w:t>
            </w:r>
            <w:r>
              <w:t xml:space="preserve"> </w:t>
            </w:r>
            <w:r w:rsidRPr="005C3F9F">
              <w:t>audit of existing protection</w:t>
            </w:r>
            <w:r>
              <w:t xml:space="preserve"> </w:t>
            </w:r>
            <w:r w:rsidRPr="005C3F9F">
              <w:t>structures, to determine</w:t>
            </w:r>
            <w:r>
              <w:t xml:space="preserve"> </w:t>
            </w:r>
            <w:r w:rsidRPr="005C3F9F">
              <w:t>their current condition,</w:t>
            </w:r>
            <w:r>
              <w:t xml:space="preserve"> </w:t>
            </w:r>
            <w:r w:rsidRPr="005C3F9F">
              <w:t>effectiveness and future</w:t>
            </w:r>
            <w:r>
              <w:t xml:space="preserve"> </w:t>
            </w:r>
            <w:r w:rsidRPr="005C3F9F">
              <w:t>protection potential.</w:t>
            </w:r>
          </w:p>
        </w:tc>
      </w:tr>
      <w:tr w:rsidR="00CD4C64" w14:paraId="29AE328C" w14:textId="77777777" w:rsidTr="00F65818">
        <w:tc>
          <w:tcPr>
            <w:tcW w:w="0" w:type="auto"/>
            <w:vMerge/>
          </w:tcPr>
          <w:p w14:paraId="25E03FC5" w14:textId="77777777" w:rsidR="00CD4C64" w:rsidRDefault="00CD4C64" w:rsidP="00F65818">
            <w:pPr>
              <w:pStyle w:val="TableText"/>
            </w:pPr>
          </w:p>
        </w:tc>
        <w:tc>
          <w:tcPr>
            <w:tcW w:w="0" w:type="auto"/>
          </w:tcPr>
          <w:p w14:paraId="26FB3A9D" w14:textId="77777777" w:rsidR="00CD4C64" w:rsidRDefault="00CD4C64" w:rsidP="00F65818">
            <w:pPr>
              <w:pStyle w:val="TableText"/>
            </w:pPr>
            <w:r>
              <w:t>Notification on title</w:t>
            </w:r>
          </w:p>
        </w:tc>
        <w:tc>
          <w:tcPr>
            <w:tcW w:w="0" w:type="auto"/>
          </w:tcPr>
          <w:p w14:paraId="0F046EE8" w14:textId="77777777" w:rsidR="00CD4C64" w:rsidRDefault="00CD4C64" w:rsidP="00F65818">
            <w:pPr>
              <w:pStyle w:val="TableText"/>
            </w:pPr>
            <w:r>
              <w:t>NR3</w:t>
            </w:r>
          </w:p>
        </w:tc>
        <w:tc>
          <w:tcPr>
            <w:tcW w:w="0" w:type="auto"/>
          </w:tcPr>
          <w:p w14:paraId="381F73E7" w14:textId="77777777" w:rsidR="00CD4C64" w:rsidRDefault="00CD4C64" w:rsidP="00F65818">
            <w:pPr>
              <w:pStyle w:val="TableText"/>
            </w:pPr>
            <w:r w:rsidRPr="005C3F9F">
              <w:t>Indicates to current and</w:t>
            </w:r>
            <w:r>
              <w:t xml:space="preserve"> </w:t>
            </w:r>
            <w:r w:rsidRPr="005C3F9F">
              <w:t>future landowners that an</w:t>
            </w:r>
            <w:r>
              <w:t xml:space="preserve"> </w:t>
            </w:r>
            <w:r w:rsidRPr="005C3F9F">
              <w:t>asset is likely to be affected</w:t>
            </w:r>
            <w:r>
              <w:t xml:space="preserve"> </w:t>
            </w:r>
            <w:r w:rsidRPr="005C3F9F">
              <w:t>by coastal erosion and/or</w:t>
            </w:r>
            <w:r>
              <w:t xml:space="preserve"> </w:t>
            </w:r>
            <w:r w:rsidRPr="005C3F9F">
              <w:t>inundation over the planning</w:t>
            </w:r>
            <w:r>
              <w:t xml:space="preserve"> </w:t>
            </w:r>
            <w:r w:rsidRPr="005C3F9F">
              <w:t>timeframe. Helps current</w:t>
            </w:r>
            <w:r>
              <w:t xml:space="preserve"> </w:t>
            </w:r>
            <w:r w:rsidRPr="005C3F9F">
              <w:t>and future</w:t>
            </w:r>
            <w:r>
              <w:t xml:space="preserve"> </w:t>
            </w:r>
            <w:r w:rsidRPr="005C3F9F">
              <w:t>owners make</w:t>
            </w:r>
            <w:r>
              <w:t xml:space="preserve"> </w:t>
            </w:r>
            <w:r w:rsidRPr="005C3F9F">
              <w:t>informed decision</w:t>
            </w:r>
            <w:r>
              <w:t>s</w:t>
            </w:r>
            <w:r w:rsidRPr="005C3F9F">
              <w:t xml:space="preserve"> about</w:t>
            </w:r>
            <w:r>
              <w:t xml:space="preserve"> </w:t>
            </w:r>
            <w:r w:rsidRPr="005C3F9F">
              <w:t>level of risk they</w:t>
            </w:r>
            <w:r>
              <w:t xml:space="preserve"> </w:t>
            </w:r>
            <w:r w:rsidRPr="005C3F9F">
              <w:t>are/may be</w:t>
            </w:r>
            <w:r>
              <w:t xml:space="preserve"> </w:t>
            </w:r>
            <w:r w:rsidRPr="005C3F9F">
              <w:t>willing to accept, and that risk</w:t>
            </w:r>
            <w:r>
              <w:t xml:space="preserve"> </w:t>
            </w:r>
            <w:r w:rsidRPr="005C3F9F">
              <w:t>management is likely to be</w:t>
            </w:r>
            <w:r>
              <w:t xml:space="preserve"> </w:t>
            </w:r>
            <w:r w:rsidRPr="005C3F9F">
              <w:t>required at some stage within</w:t>
            </w:r>
            <w:r>
              <w:t xml:space="preserve"> </w:t>
            </w:r>
            <w:r w:rsidRPr="005C3F9F">
              <w:t>the planning timeframe.</w:t>
            </w:r>
          </w:p>
        </w:tc>
      </w:tr>
      <w:tr w:rsidR="00CD4C64" w14:paraId="3A81ECDB" w14:textId="77777777" w:rsidTr="00F65818">
        <w:tc>
          <w:tcPr>
            <w:tcW w:w="0" w:type="auto"/>
            <w:vMerge/>
          </w:tcPr>
          <w:p w14:paraId="1AD5DF3B" w14:textId="77777777" w:rsidR="00CD4C64" w:rsidRDefault="00CD4C64" w:rsidP="00F65818">
            <w:pPr>
              <w:pStyle w:val="TableText"/>
            </w:pPr>
          </w:p>
        </w:tc>
        <w:tc>
          <w:tcPr>
            <w:tcW w:w="0" w:type="auto"/>
          </w:tcPr>
          <w:p w14:paraId="19E1A105" w14:textId="77777777" w:rsidR="00CD4C64" w:rsidRDefault="00CD4C64" w:rsidP="00F65818">
            <w:pPr>
              <w:pStyle w:val="TableText"/>
            </w:pPr>
            <w:r>
              <w:t>Emergency evacuation plans</w:t>
            </w:r>
          </w:p>
        </w:tc>
        <w:tc>
          <w:tcPr>
            <w:tcW w:w="0" w:type="auto"/>
          </w:tcPr>
          <w:p w14:paraId="7FEAF456" w14:textId="77777777" w:rsidR="00CD4C64" w:rsidRDefault="00CD4C64" w:rsidP="00F65818">
            <w:pPr>
              <w:pStyle w:val="TableText"/>
            </w:pPr>
            <w:r>
              <w:t>NR4</w:t>
            </w:r>
          </w:p>
        </w:tc>
        <w:tc>
          <w:tcPr>
            <w:tcW w:w="0" w:type="auto"/>
          </w:tcPr>
          <w:p w14:paraId="73AC77EE" w14:textId="77777777" w:rsidR="00CD4C64" w:rsidRDefault="00CD4C64" w:rsidP="00F65818">
            <w:pPr>
              <w:pStyle w:val="TableText"/>
            </w:pPr>
            <w:r w:rsidRPr="005C3F9F">
              <w:t>Where existing assets may</w:t>
            </w:r>
            <w:r>
              <w:t xml:space="preserve"> </w:t>
            </w:r>
            <w:r w:rsidRPr="005C3F9F">
              <w:t>be affected by inundation</w:t>
            </w:r>
            <w:r>
              <w:t xml:space="preserve"> </w:t>
            </w:r>
            <w:r w:rsidRPr="005C3F9F">
              <w:t>and are not already identified</w:t>
            </w:r>
            <w:r>
              <w:t xml:space="preserve"> </w:t>
            </w:r>
            <w:r w:rsidRPr="005C3F9F">
              <w:t>in an existing emergency</w:t>
            </w:r>
            <w:r>
              <w:t xml:space="preserve"> </w:t>
            </w:r>
            <w:r w:rsidRPr="005C3F9F">
              <w:t>evacuation management plan.</w:t>
            </w:r>
            <w:r>
              <w:t xml:space="preserve"> </w:t>
            </w:r>
            <w:r w:rsidRPr="005C3F9F">
              <w:t>Such plans are important</w:t>
            </w:r>
            <w:r>
              <w:t xml:space="preserve"> </w:t>
            </w:r>
            <w:r w:rsidRPr="005C3F9F">
              <w:t>in managing the safety of</w:t>
            </w:r>
            <w:r>
              <w:t xml:space="preserve"> </w:t>
            </w:r>
            <w:r w:rsidRPr="005C3F9F">
              <w:t>community and stakeholders</w:t>
            </w:r>
            <w:r>
              <w:t>.</w:t>
            </w:r>
          </w:p>
        </w:tc>
      </w:tr>
      <w:tr w:rsidR="00CD4C64" w14:paraId="5CCC59C6" w14:textId="77777777" w:rsidTr="00F65818">
        <w:tc>
          <w:tcPr>
            <w:tcW w:w="0" w:type="auto"/>
          </w:tcPr>
          <w:p w14:paraId="25687017" w14:textId="77777777" w:rsidR="00CD4C64" w:rsidRDefault="00CD4C64" w:rsidP="00F65818">
            <w:pPr>
              <w:pStyle w:val="TableText"/>
            </w:pPr>
            <w:r>
              <w:t>Do Nothing</w:t>
            </w:r>
          </w:p>
        </w:tc>
        <w:tc>
          <w:tcPr>
            <w:tcW w:w="0" w:type="auto"/>
          </w:tcPr>
          <w:p w14:paraId="32A0F6BA" w14:textId="77777777" w:rsidR="00CD4C64" w:rsidRDefault="00CD4C64" w:rsidP="00F65818">
            <w:pPr>
              <w:pStyle w:val="TableText"/>
            </w:pPr>
            <w:r>
              <w:t>Do Nothing</w:t>
            </w:r>
          </w:p>
        </w:tc>
        <w:tc>
          <w:tcPr>
            <w:tcW w:w="0" w:type="auto"/>
          </w:tcPr>
          <w:p w14:paraId="64260546" w14:textId="77777777" w:rsidR="00CD4C64" w:rsidRDefault="00CD4C64" w:rsidP="00F65818">
            <w:pPr>
              <w:pStyle w:val="TableText"/>
            </w:pPr>
            <w:r>
              <w:t>DN1</w:t>
            </w:r>
          </w:p>
        </w:tc>
        <w:tc>
          <w:tcPr>
            <w:tcW w:w="0" w:type="auto"/>
          </w:tcPr>
          <w:p w14:paraId="21A5481E" w14:textId="77777777" w:rsidR="00CD4C64" w:rsidRDefault="00CD4C64" w:rsidP="00F65818">
            <w:pPr>
              <w:pStyle w:val="TableText"/>
            </w:pPr>
            <w:r>
              <w:t>A</w:t>
            </w:r>
            <w:r w:rsidRPr="005C3F9F">
              <w:t>ssumes all levels of risk are</w:t>
            </w:r>
            <w:r>
              <w:t xml:space="preserve"> </w:t>
            </w:r>
            <w:r w:rsidRPr="005C3F9F">
              <w:t>accepted and assumes that</w:t>
            </w:r>
            <w:r>
              <w:t xml:space="preserve"> </w:t>
            </w:r>
            <w:r w:rsidRPr="005C3F9F">
              <w:t>there is no change in existing</w:t>
            </w:r>
            <w:r>
              <w:t xml:space="preserve"> </w:t>
            </w:r>
            <w:r w:rsidRPr="005C3F9F">
              <w:t>planning controls, and no</w:t>
            </w:r>
            <w:r>
              <w:t xml:space="preserve"> </w:t>
            </w:r>
            <w:r w:rsidRPr="005C3F9F">
              <w:t>actions are implemented (i.e.,</w:t>
            </w:r>
            <w:r>
              <w:t xml:space="preserve"> </w:t>
            </w:r>
            <w:r w:rsidRPr="005C3F9F">
              <w:t>no controls are implemented</w:t>
            </w:r>
            <w:r>
              <w:t xml:space="preserve"> </w:t>
            </w:r>
            <w:r w:rsidRPr="005C3F9F">
              <w:t>to treat known coastal risks).</w:t>
            </w:r>
          </w:p>
        </w:tc>
      </w:tr>
    </w:tbl>
    <w:p w14:paraId="627FFC1E" w14:textId="77777777" w:rsidR="00CD4C64" w:rsidRDefault="00CD4C64" w:rsidP="00CD4C64">
      <w:pPr>
        <w:pStyle w:val="BodyText"/>
      </w:pPr>
    </w:p>
    <w:p w14:paraId="62F808A0" w14:textId="77777777" w:rsidR="00CD4C64" w:rsidRDefault="00CD4C64" w:rsidP="00CD4C64">
      <w:pPr>
        <w:pStyle w:val="BodyText"/>
        <w:sectPr w:rsidR="00CD4C64" w:rsidSect="00CD4C64">
          <w:headerReference w:type="even" r:id="rId53"/>
          <w:footerReference w:type="even" r:id="rId54"/>
          <w:footerReference w:type="default" r:id="rId55"/>
          <w:headerReference w:type="first" r:id="rId56"/>
          <w:footerReference w:type="first" r:id="rId57"/>
          <w:pgSz w:w="16838" w:h="23811" w:code="9"/>
          <w:pgMar w:top="1985" w:right="1134" w:bottom="1701" w:left="1134" w:header="567" w:footer="567" w:gutter="0"/>
          <w:cols w:space="708"/>
          <w:docGrid w:linePitch="360"/>
        </w:sectPr>
      </w:pPr>
    </w:p>
    <w:p w14:paraId="606FDA62" w14:textId="77777777" w:rsidR="00CD4C64" w:rsidRDefault="00CD4C64" w:rsidP="00CD4C64">
      <w:pPr>
        <w:pStyle w:val="Heading2"/>
        <w:numPr>
          <w:ilvl w:val="1"/>
          <w:numId w:val="14"/>
        </w:numPr>
      </w:pPr>
      <w:bookmarkStart w:id="191" w:name="_Toc152578233"/>
      <w:bookmarkStart w:id="192" w:name="_Toc164420885"/>
      <w:r>
        <w:lastRenderedPageBreak/>
        <w:t>Multi-Criteria Analysis</w:t>
      </w:r>
      <w:bookmarkEnd w:id="191"/>
      <w:bookmarkEnd w:id="192"/>
    </w:p>
    <w:p w14:paraId="3E19CFE5" w14:textId="77777777" w:rsidR="00CD4C64" w:rsidRDefault="00CD4C64" w:rsidP="00CD4C64">
      <w:pPr>
        <w:pStyle w:val="BodyText"/>
      </w:pPr>
      <w:r>
        <w:t>Successful risk management and adaptation planning requires identification and diligent assessment of suitable options to ensure selection of the best strategy. The chosen option should mitigate risk to an acceptable level whilst maximising the values important to the stakeholders and community. For this CHRMAP the key assessment criteria were:</w:t>
      </w:r>
    </w:p>
    <w:p w14:paraId="46871E15" w14:textId="77777777" w:rsidR="00C645B8" w:rsidRDefault="00C645B8" w:rsidP="00A97817">
      <w:pPr>
        <w:pStyle w:val="ListBullet0"/>
        <w:numPr>
          <w:ilvl w:val="0"/>
          <w:numId w:val="60"/>
        </w:numPr>
      </w:pPr>
      <w:r>
        <w:t>Effectiveness</w:t>
      </w:r>
    </w:p>
    <w:p w14:paraId="4899DBA7" w14:textId="77777777" w:rsidR="00C645B8" w:rsidRDefault="00C645B8" w:rsidP="00FF5CBF">
      <w:pPr>
        <w:pStyle w:val="ListBullet0"/>
        <w:numPr>
          <w:ilvl w:val="1"/>
          <w:numId w:val="41"/>
        </w:numPr>
      </w:pPr>
      <w:r>
        <w:t>Ability for the option to mitigate the coastal hazard</w:t>
      </w:r>
    </w:p>
    <w:p w14:paraId="518C6F35" w14:textId="77777777" w:rsidR="00C645B8" w:rsidRDefault="00C645B8" w:rsidP="00FF5CBF">
      <w:pPr>
        <w:pStyle w:val="ListBullet0"/>
        <w:numPr>
          <w:ilvl w:val="0"/>
          <w:numId w:val="42"/>
        </w:numPr>
      </w:pPr>
      <w:r>
        <w:t>Environmental Impact</w:t>
      </w:r>
    </w:p>
    <w:p w14:paraId="1393206B" w14:textId="77777777" w:rsidR="00C645B8" w:rsidRDefault="00C645B8" w:rsidP="00FF5CBF">
      <w:pPr>
        <w:pStyle w:val="ListBullet0"/>
        <w:numPr>
          <w:ilvl w:val="1"/>
          <w:numId w:val="42"/>
        </w:numPr>
      </w:pPr>
      <w:r>
        <w:t>Impact on existing native vegetation / dunes / coastal processes</w:t>
      </w:r>
    </w:p>
    <w:p w14:paraId="0E4F6C63" w14:textId="77777777" w:rsidR="00C645B8" w:rsidRDefault="00C645B8" w:rsidP="00FF5CBF">
      <w:pPr>
        <w:pStyle w:val="ListBullet0"/>
        <w:numPr>
          <w:ilvl w:val="1"/>
          <w:numId w:val="42"/>
        </w:numPr>
      </w:pPr>
      <w:r>
        <w:t>Includes consideration of:</w:t>
      </w:r>
    </w:p>
    <w:p w14:paraId="17FDB855" w14:textId="77777777" w:rsidR="00C645B8" w:rsidRDefault="00C645B8" w:rsidP="00FF5CBF">
      <w:pPr>
        <w:pStyle w:val="ListBullet0"/>
        <w:numPr>
          <w:ilvl w:val="2"/>
          <w:numId w:val="43"/>
        </w:numPr>
      </w:pPr>
      <w:r>
        <w:t>Any construction / clearing impacts</w:t>
      </w:r>
    </w:p>
    <w:p w14:paraId="7B95485A" w14:textId="77777777" w:rsidR="00C645B8" w:rsidRDefault="00C645B8" w:rsidP="00FF5CBF">
      <w:pPr>
        <w:pStyle w:val="ListBullet0"/>
        <w:numPr>
          <w:ilvl w:val="2"/>
          <w:numId w:val="43"/>
        </w:numPr>
      </w:pPr>
      <w:r>
        <w:t>Impact of maintenance on the environment</w:t>
      </w:r>
    </w:p>
    <w:p w14:paraId="29059CBB" w14:textId="77777777" w:rsidR="00C645B8" w:rsidRDefault="00C645B8" w:rsidP="00A97817">
      <w:pPr>
        <w:pStyle w:val="ListBullet0"/>
        <w:numPr>
          <w:ilvl w:val="0"/>
          <w:numId w:val="60"/>
        </w:numPr>
      </w:pPr>
      <w:r>
        <w:t>Social Impact</w:t>
      </w:r>
    </w:p>
    <w:p w14:paraId="575A8B79" w14:textId="77777777" w:rsidR="00C645B8" w:rsidRDefault="00C645B8" w:rsidP="00FF5CBF">
      <w:pPr>
        <w:pStyle w:val="ListBullet0"/>
        <w:numPr>
          <w:ilvl w:val="1"/>
          <w:numId w:val="42"/>
        </w:numPr>
      </w:pPr>
      <w:r>
        <w:t>This considers stakeholder and community impacts from previous CHRMAP chapters</w:t>
      </w:r>
    </w:p>
    <w:p w14:paraId="47A57D1E" w14:textId="77777777" w:rsidR="00C645B8" w:rsidRDefault="00C645B8" w:rsidP="00FF5CBF">
      <w:pPr>
        <w:pStyle w:val="ListBullet0"/>
        <w:numPr>
          <w:ilvl w:val="1"/>
          <w:numId w:val="42"/>
        </w:numPr>
      </w:pPr>
      <w:r>
        <w:t>Potential impacts on Aboriginal and European heritage sites and values are considered in this criterion.</w:t>
      </w:r>
    </w:p>
    <w:p w14:paraId="32BDD1C6" w14:textId="77777777" w:rsidR="00C645B8" w:rsidRDefault="00C645B8" w:rsidP="00A97817">
      <w:pPr>
        <w:pStyle w:val="ListBullet0"/>
        <w:numPr>
          <w:ilvl w:val="0"/>
          <w:numId w:val="60"/>
        </w:numPr>
      </w:pPr>
      <w:r>
        <w:t>Aesthetic Impact</w:t>
      </w:r>
    </w:p>
    <w:p w14:paraId="372565A8" w14:textId="77777777" w:rsidR="00C645B8" w:rsidRDefault="00C645B8" w:rsidP="00FF5CBF">
      <w:pPr>
        <w:pStyle w:val="ListBullet0"/>
        <w:numPr>
          <w:ilvl w:val="1"/>
          <w:numId w:val="42"/>
        </w:numPr>
      </w:pPr>
      <w:r>
        <w:t>The visual appeal of the option</w:t>
      </w:r>
    </w:p>
    <w:p w14:paraId="30B9B7DF" w14:textId="77777777" w:rsidR="00C645B8" w:rsidRDefault="00C645B8" w:rsidP="00FF5CBF">
      <w:pPr>
        <w:pStyle w:val="ListBullet0"/>
        <w:numPr>
          <w:ilvl w:val="1"/>
          <w:numId w:val="42"/>
        </w:numPr>
      </w:pPr>
      <w:r>
        <w:t>Consideration of option aesthetics tying into the wider City / Management Unit vision</w:t>
      </w:r>
    </w:p>
    <w:p w14:paraId="5FCFB7AF" w14:textId="77777777" w:rsidR="00C645B8" w:rsidRDefault="00C645B8" w:rsidP="00A97817">
      <w:pPr>
        <w:pStyle w:val="ListBullet0"/>
        <w:numPr>
          <w:ilvl w:val="0"/>
          <w:numId w:val="60"/>
        </w:numPr>
      </w:pPr>
      <w:r>
        <w:t>Cost</w:t>
      </w:r>
    </w:p>
    <w:p w14:paraId="3EC68DF7" w14:textId="77777777" w:rsidR="00C645B8" w:rsidRDefault="00C645B8" w:rsidP="00FF5CBF">
      <w:pPr>
        <w:pStyle w:val="ListBullet0"/>
        <w:numPr>
          <w:ilvl w:val="1"/>
          <w:numId w:val="42"/>
        </w:numPr>
      </w:pPr>
      <w:r>
        <w:t>Upfront capital costs</w:t>
      </w:r>
    </w:p>
    <w:p w14:paraId="62410AF4" w14:textId="77777777" w:rsidR="00C645B8" w:rsidRDefault="00C645B8" w:rsidP="00FF5CBF">
      <w:pPr>
        <w:pStyle w:val="ListBullet0"/>
        <w:numPr>
          <w:ilvl w:val="1"/>
          <w:numId w:val="42"/>
        </w:numPr>
      </w:pPr>
      <w:r>
        <w:t>Ongoing maintenance costs</w:t>
      </w:r>
    </w:p>
    <w:p w14:paraId="744E24C1" w14:textId="77777777" w:rsidR="00C645B8" w:rsidRDefault="00C645B8" w:rsidP="00FF5CBF">
      <w:pPr>
        <w:pStyle w:val="ListBullet0"/>
        <w:numPr>
          <w:ilvl w:val="1"/>
          <w:numId w:val="42"/>
        </w:numPr>
      </w:pPr>
      <w:r>
        <w:t xml:space="preserve">Economic affects – such as loss of businesses, income, value </w:t>
      </w:r>
    </w:p>
    <w:p w14:paraId="74E4F273" w14:textId="77777777" w:rsidR="00C645B8" w:rsidRDefault="00C645B8" w:rsidP="00A97817">
      <w:pPr>
        <w:pStyle w:val="ListBullet0"/>
        <w:numPr>
          <w:ilvl w:val="0"/>
          <w:numId w:val="60"/>
        </w:numPr>
      </w:pPr>
      <w:r>
        <w:t>Future Adaptability</w:t>
      </w:r>
    </w:p>
    <w:p w14:paraId="0E362D2D" w14:textId="77777777" w:rsidR="00C645B8" w:rsidRDefault="00C645B8" w:rsidP="00FF5CBF">
      <w:pPr>
        <w:pStyle w:val="ListBullet0"/>
        <w:numPr>
          <w:ilvl w:val="1"/>
          <w:numId w:val="42"/>
        </w:numPr>
      </w:pPr>
      <w:r>
        <w:t>Whether the option is easily adaptable in future, such as for updated sea level rise actuals or projections</w:t>
      </w:r>
    </w:p>
    <w:p w14:paraId="780C126A" w14:textId="6BB98429" w:rsidR="00CD4C64" w:rsidRDefault="00C645B8" w:rsidP="00FF5CBF">
      <w:pPr>
        <w:pStyle w:val="ListBullet0"/>
        <w:numPr>
          <w:ilvl w:val="1"/>
          <w:numId w:val="42"/>
        </w:numPr>
      </w:pPr>
      <w:r>
        <w:t>If the option limits the feasibility of selecting other options in future</w:t>
      </w:r>
    </w:p>
    <w:p w14:paraId="0DE0FBCF" w14:textId="29DD2DFB" w:rsidR="00C645B8" w:rsidRDefault="00C645B8" w:rsidP="00C645B8">
      <w:pPr>
        <w:pStyle w:val="BodyText"/>
        <w:rPr>
          <w:b/>
          <w:bCs/>
        </w:rPr>
      </w:pPr>
      <w:r>
        <w:t xml:space="preserve">Water Technology undertook an initial assessment of options against the criteria. </w:t>
      </w:r>
      <w:r w:rsidRPr="00326CC2">
        <w:rPr>
          <w:rStyle w:val="Emphasis"/>
        </w:rPr>
        <w:t xml:space="preserve">All ratings are somewhat subjective; </w:t>
      </w:r>
      <w:r w:rsidR="00345509" w:rsidRPr="00326CC2">
        <w:rPr>
          <w:rStyle w:val="Emphasis"/>
        </w:rPr>
        <w:t>however,</w:t>
      </w:r>
      <w:r>
        <w:rPr>
          <w:rStyle w:val="Emphasis"/>
        </w:rPr>
        <w:t xml:space="preserve"> c</w:t>
      </w:r>
      <w:r w:rsidRPr="00326CC2">
        <w:rPr>
          <w:rStyle w:val="Emphasis"/>
        </w:rPr>
        <w:t xml:space="preserve">ommunity </w:t>
      </w:r>
      <w:r>
        <w:rPr>
          <w:rStyle w:val="Emphasis"/>
        </w:rPr>
        <w:t xml:space="preserve">and stakeholder </w:t>
      </w:r>
      <w:r w:rsidRPr="00326CC2">
        <w:rPr>
          <w:rStyle w:val="Emphasis"/>
        </w:rPr>
        <w:t>engagement allow</w:t>
      </w:r>
      <w:r>
        <w:rPr>
          <w:rStyle w:val="Emphasis"/>
        </w:rPr>
        <w:t>ed</w:t>
      </w:r>
      <w:r w:rsidRPr="00326CC2">
        <w:rPr>
          <w:rStyle w:val="Emphasis"/>
        </w:rPr>
        <w:t xml:space="preserve"> for additional feedback from the community</w:t>
      </w:r>
      <w:r w:rsidRPr="00CC0F64">
        <w:rPr>
          <w:rStyle w:val="Emphasis"/>
        </w:rPr>
        <w:t xml:space="preserve"> and further review of the scores attributed</w:t>
      </w:r>
      <w:r>
        <w:rPr>
          <w:rStyle w:val="Emphasis"/>
        </w:rPr>
        <w:t xml:space="preserve"> – discussed further below</w:t>
      </w:r>
      <w:r w:rsidRPr="00326CC2">
        <w:rPr>
          <w:rStyle w:val="Emphasis"/>
        </w:rPr>
        <w:t>.</w:t>
      </w:r>
    </w:p>
    <w:p w14:paraId="4D415C76" w14:textId="09B1D291" w:rsidR="00C645B8" w:rsidRPr="00AF3E96" w:rsidRDefault="00C645B8" w:rsidP="00C645B8">
      <w:pPr>
        <w:pStyle w:val="BodyText"/>
      </w:pPr>
      <w:r>
        <w:t>Following the preparation of the draft MCA, the results were reviewed by the Steering Committee and the Community And Business Reference Group. In addition, community members attended two workshops to provide their thoughts on adaptation options to enable further review and calibration of the MCA scoring. The engagement focussed on the Environmental, Social and Aesthetic Impact categories. Several component category scores changed during this review process</w:t>
      </w:r>
      <w:r w:rsidRPr="00AF3E96">
        <w:t xml:space="preserve">, but only </w:t>
      </w:r>
      <w:r>
        <w:t xml:space="preserve">the following options </w:t>
      </w:r>
      <w:r w:rsidRPr="00AF3E96">
        <w:t>changed recommendations:</w:t>
      </w:r>
    </w:p>
    <w:p w14:paraId="5F84FAEC" w14:textId="250967EC" w:rsidR="00C645B8" w:rsidRPr="00AF3E96" w:rsidRDefault="00C645B8" w:rsidP="00A97817">
      <w:pPr>
        <w:pStyle w:val="ListBullet0"/>
        <w:numPr>
          <w:ilvl w:val="0"/>
          <w:numId w:val="60"/>
        </w:numPr>
      </w:pPr>
      <w:r w:rsidRPr="00AF3E96">
        <w:t>MU1 – P</w:t>
      </w:r>
      <w:r w:rsidRPr="00AD45DE">
        <w:t>M</w:t>
      </w:r>
      <w:r w:rsidRPr="00AF3E96">
        <w:t>R2</w:t>
      </w:r>
      <w:r w:rsidRPr="00AD45DE">
        <w:t xml:space="preserve"> </w:t>
      </w:r>
      <w:r w:rsidRPr="00AF3E96">
        <w:t>Demolition / removal / relocation of asset from inside hazard area</w:t>
      </w:r>
      <w:r w:rsidRPr="00AD45DE">
        <w:t xml:space="preserve"> </w:t>
      </w:r>
      <w:r w:rsidRPr="00AF3E96">
        <w:t>– changed from ‘</w:t>
      </w:r>
      <w:r w:rsidRPr="00AD45DE">
        <w:t xml:space="preserve">Not </w:t>
      </w:r>
      <w:r w:rsidRPr="00AF3E96">
        <w:t>Recommended’ to ‘</w:t>
      </w:r>
      <w:r w:rsidRPr="00AD45DE">
        <w:t>Recommended’</w:t>
      </w:r>
      <w:r w:rsidRPr="00AF3E96">
        <w:t>.</w:t>
      </w:r>
    </w:p>
    <w:p w14:paraId="0B9B2AB2" w14:textId="7CB492D4" w:rsidR="00C645B8" w:rsidRPr="00AD45DE" w:rsidRDefault="00C645B8" w:rsidP="00A97817">
      <w:pPr>
        <w:pStyle w:val="ListBullet0"/>
        <w:numPr>
          <w:ilvl w:val="0"/>
          <w:numId w:val="60"/>
        </w:numPr>
      </w:pPr>
      <w:r w:rsidRPr="00AF3E96">
        <w:t>MU</w:t>
      </w:r>
      <w:r w:rsidRPr="00AD45DE">
        <w:t>1</w:t>
      </w:r>
      <w:r w:rsidRPr="00AF3E96">
        <w:t xml:space="preserve"> – PR</w:t>
      </w:r>
      <w:r w:rsidRPr="00AD45DE">
        <w:t>3</w:t>
      </w:r>
      <w:r w:rsidRPr="00AF3E96">
        <w:t xml:space="preserve"> </w:t>
      </w:r>
      <w:r w:rsidRPr="00AD45DE">
        <w:t xml:space="preserve">Seawall </w:t>
      </w:r>
      <w:r w:rsidRPr="00AF3E96">
        <w:t xml:space="preserve">– changed from </w:t>
      </w:r>
      <w:r w:rsidRPr="00AD45DE">
        <w:t>‘</w:t>
      </w:r>
      <w:r w:rsidRPr="00AF3E96">
        <w:t>Suitability Unclear</w:t>
      </w:r>
      <w:r w:rsidRPr="00AD45DE">
        <w:t>’ to ‘Recommended’</w:t>
      </w:r>
      <w:r w:rsidRPr="00AF3E96">
        <w:t>.</w:t>
      </w:r>
    </w:p>
    <w:p w14:paraId="5AC1A4E9" w14:textId="46DCAC74" w:rsidR="00C645B8" w:rsidRPr="00AD45DE" w:rsidRDefault="00C645B8" w:rsidP="00A97817">
      <w:pPr>
        <w:pStyle w:val="ListBullet0"/>
        <w:numPr>
          <w:ilvl w:val="0"/>
          <w:numId w:val="60"/>
        </w:numPr>
      </w:pPr>
      <w:r w:rsidRPr="00AD45DE">
        <w:lastRenderedPageBreak/>
        <w:t>MU1 – PR4 Artificial Reef– changed from ‘Suitability Unclear’ to ‘Not Recommended’.</w:t>
      </w:r>
    </w:p>
    <w:p w14:paraId="34FC715B" w14:textId="77777777" w:rsidR="00B3685A" w:rsidRDefault="00C645B8" w:rsidP="00A97817">
      <w:pPr>
        <w:pStyle w:val="ListBullet0"/>
        <w:numPr>
          <w:ilvl w:val="0"/>
          <w:numId w:val="60"/>
        </w:numPr>
      </w:pPr>
      <w:r w:rsidRPr="00AD45DE">
        <w:t>MU2 - PR3 Seawall – changed from ‘Not Recommended’ to ‘Suitability Unclear’.</w:t>
      </w:r>
    </w:p>
    <w:p w14:paraId="1B37F868" w14:textId="28CCE5C4" w:rsidR="00C645B8" w:rsidRDefault="00C645B8" w:rsidP="00A97817">
      <w:pPr>
        <w:pStyle w:val="ListBullet0"/>
        <w:numPr>
          <w:ilvl w:val="0"/>
          <w:numId w:val="60"/>
        </w:numPr>
      </w:pPr>
      <w:r w:rsidRPr="00AF3E96">
        <w:t>MU</w:t>
      </w:r>
      <w:r>
        <w:t xml:space="preserve">5 – PR2 Groynes, PR3 Seawall, PR4 Artificial Reef and PR5 Offshore Breakwaters – all changed from </w:t>
      </w:r>
      <w:r w:rsidRPr="00555395">
        <w:t>‘Suitability Unclear’ to ‘Not Recommended’.</w:t>
      </w:r>
    </w:p>
    <w:p w14:paraId="5C760872" w14:textId="1EE252FD" w:rsidR="00B3685A" w:rsidRPr="00A24B0C" w:rsidRDefault="00CD4C64" w:rsidP="00CD4C64">
      <w:pPr>
        <w:pStyle w:val="BodyText"/>
      </w:pPr>
      <w:r>
        <w:t xml:space="preserve">In most cases it is necessary to implement more than one option, and the options selected through the MCA may vary between management units and with implementation timeframes. </w:t>
      </w:r>
      <w:r>
        <w:fldChar w:fldCharType="begin"/>
      </w:r>
      <w:r>
        <w:instrText xml:space="preserve"> REF _Ref528750199 \h </w:instrText>
      </w:r>
      <w:r>
        <w:fldChar w:fldCharType="separate"/>
      </w:r>
      <w:r w:rsidR="00594B04">
        <w:t>Table </w:t>
      </w:r>
      <w:r w:rsidR="00594B04">
        <w:rPr>
          <w:noProof/>
        </w:rPr>
        <w:t>6</w:t>
      </w:r>
      <w:r w:rsidR="00594B04">
        <w:noBreakHyphen/>
      </w:r>
      <w:r w:rsidR="00594B04">
        <w:rPr>
          <w:noProof/>
        </w:rPr>
        <w:t>5</w:t>
      </w:r>
      <w:r>
        <w:fldChar w:fldCharType="end"/>
      </w:r>
      <w:r>
        <w:t xml:space="preserve"> summarises the evaluated status of each option for each management unit. Options receiving a positive score are recommended for further consideration</w:t>
      </w:r>
      <w:r w:rsidR="00B3685A">
        <w:t>.</w:t>
      </w:r>
    </w:p>
    <w:p w14:paraId="4A7EC7E5" w14:textId="0D5E6583" w:rsidR="00B3685A" w:rsidRDefault="00B3685A" w:rsidP="00B3685A">
      <w:pPr>
        <w:pStyle w:val="TableCaption"/>
      </w:pPr>
      <w:bookmarkStart w:id="193" w:name="_Ref528750199"/>
      <w:bookmarkStart w:id="194" w:name="_Toc528878327"/>
      <w:bookmarkStart w:id="195" w:name="_Toc5095459"/>
      <w:bookmarkStart w:id="196" w:name="_Toc90907339"/>
      <w:bookmarkStart w:id="197" w:name="_Toc106717228"/>
      <w:bookmarkStart w:id="198" w:name="_Toc164411287"/>
      <w:bookmarkStart w:id="199" w:name="_Toc115686203"/>
      <w:r>
        <w:t>Table </w:t>
      </w:r>
      <w:r w:rsidR="008647EF">
        <w:fldChar w:fldCharType="begin"/>
      </w:r>
      <w:r w:rsidR="008647EF">
        <w:instrText xml:space="preserve"> STYLEREF 1 \s </w:instrText>
      </w:r>
      <w:r w:rsidR="008647EF">
        <w:fldChar w:fldCharType="separate"/>
      </w:r>
      <w:r w:rsidR="008647EF">
        <w:rPr>
          <w:noProof/>
        </w:rPr>
        <w:t>6</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5</w:t>
      </w:r>
      <w:r w:rsidR="008647EF">
        <w:fldChar w:fldCharType="end"/>
      </w:r>
      <w:bookmarkEnd w:id="193"/>
      <w:r>
        <w:tab/>
      </w:r>
      <w:bookmarkEnd w:id="194"/>
      <w:bookmarkEnd w:id="195"/>
      <w:bookmarkEnd w:id="196"/>
      <w:r>
        <w:t xml:space="preserve">Multi-Criteria Analysis summary by MU. </w:t>
      </w:r>
      <w:bookmarkEnd w:id="197"/>
      <w:r>
        <w:t>Green indicates options recommended for further investigation (CBA); orange cells are unclear, so will be analysed further; red cells are not recommended for inclusion or further analysis</w:t>
      </w:r>
      <w:bookmarkEnd w:id="198"/>
      <w:r>
        <w:t xml:space="preserve"> </w:t>
      </w:r>
      <w:bookmarkEnd w:id="199"/>
    </w:p>
    <w:tbl>
      <w:tblPr>
        <w:tblStyle w:val="BlueTable"/>
        <w:tblW w:w="0" w:type="auto"/>
        <w:tblBorders>
          <w:top w:val="single" w:sz="4" w:space="0" w:color="F2F2F2" w:themeColor="background2"/>
          <w:left w:val="single" w:sz="4" w:space="0" w:color="F2F2F2" w:themeColor="background2"/>
          <w:bottom w:val="single" w:sz="4" w:space="0" w:color="F2F2F2" w:themeColor="background2"/>
          <w:right w:val="single" w:sz="4" w:space="0" w:color="F2F2F2" w:themeColor="background2"/>
          <w:insideH w:val="single" w:sz="4" w:space="0" w:color="F2F2F2" w:themeColor="background2"/>
          <w:insideV w:val="single" w:sz="4" w:space="0" w:color="F2F2F2" w:themeColor="background2"/>
        </w:tblBorders>
        <w:tblLook w:val="06A0" w:firstRow="1" w:lastRow="0" w:firstColumn="1" w:lastColumn="0" w:noHBand="1" w:noVBand="1"/>
      </w:tblPr>
      <w:tblGrid>
        <w:gridCol w:w="6433"/>
        <w:gridCol w:w="639"/>
        <w:gridCol w:w="639"/>
        <w:gridCol w:w="639"/>
        <w:gridCol w:w="639"/>
        <w:gridCol w:w="639"/>
      </w:tblGrid>
      <w:tr w:rsidR="00B3685A" w14:paraId="0025F631" w14:textId="77777777" w:rsidTr="00B3685A">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right w:val="none" w:sz="0" w:space="0" w:color="auto"/>
            </w:tcBorders>
            <w:vAlign w:val="center"/>
          </w:tcPr>
          <w:p w14:paraId="7CC77009" w14:textId="77777777" w:rsidR="00B3685A" w:rsidRPr="00A66E04" w:rsidRDefault="00B3685A" w:rsidP="00153AFB">
            <w:pPr>
              <w:pStyle w:val="TableHeading"/>
            </w:pPr>
            <w:r w:rsidRPr="007F140A">
              <w:t>Option</w:t>
            </w:r>
          </w:p>
        </w:tc>
        <w:tc>
          <w:tcPr>
            <w:tcW w:w="0" w:type="auto"/>
            <w:tcBorders>
              <w:left w:val="none" w:sz="0" w:space="0" w:color="auto"/>
              <w:right w:val="none" w:sz="0" w:space="0" w:color="auto"/>
            </w:tcBorders>
            <w:vAlign w:val="center"/>
          </w:tcPr>
          <w:p w14:paraId="0A2203EE" w14:textId="77777777" w:rsidR="00B3685A" w:rsidRPr="00350EB0" w:rsidRDefault="00B3685A" w:rsidP="00153AFB">
            <w:pPr>
              <w:pStyle w:val="TableHeading"/>
              <w:jc w:val="center"/>
              <w:cnfStyle w:val="100000000000" w:firstRow="1" w:lastRow="0" w:firstColumn="0" w:lastColumn="0" w:oddVBand="0" w:evenVBand="0" w:oddHBand="0" w:evenHBand="0" w:firstRowFirstColumn="0" w:firstRowLastColumn="0" w:lastRowFirstColumn="0" w:lastRowLastColumn="0"/>
            </w:pPr>
            <w:r>
              <w:t>MU1</w:t>
            </w:r>
          </w:p>
        </w:tc>
        <w:tc>
          <w:tcPr>
            <w:tcW w:w="0" w:type="auto"/>
            <w:tcBorders>
              <w:left w:val="none" w:sz="0" w:space="0" w:color="auto"/>
              <w:right w:val="none" w:sz="0" w:space="0" w:color="auto"/>
            </w:tcBorders>
            <w:vAlign w:val="center"/>
          </w:tcPr>
          <w:p w14:paraId="55FD8246" w14:textId="77777777" w:rsidR="00B3685A" w:rsidRPr="00350EB0" w:rsidRDefault="00B3685A" w:rsidP="00153AFB">
            <w:pPr>
              <w:pStyle w:val="TableHeading"/>
              <w:jc w:val="center"/>
              <w:cnfStyle w:val="100000000000" w:firstRow="1" w:lastRow="0" w:firstColumn="0" w:lastColumn="0" w:oddVBand="0" w:evenVBand="0" w:oddHBand="0" w:evenHBand="0" w:firstRowFirstColumn="0" w:firstRowLastColumn="0" w:lastRowFirstColumn="0" w:lastRowLastColumn="0"/>
            </w:pPr>
            <w:r>
              <w:t>MU2</w:t>
            </w:r>
          </w:p>
        </w:tc>
        <w:tc>
          <w:tcPr>
            <w:tcW w:w="0" w:type="auto"/>
            <w:tcBorders>
              <w:left w:val="none" w:sz="0" w:space="0" w:color="auto"/>
              <w:right w:val="none" w:sz="0" w:space="0" w:color="auto"/>
            </w:tcBorders>
            <w:vAlign w:val="center"/>
          </w:tcPr>
          <w:p w14:paraId="797B95D6" w14:textId="77777777" w:rsidR="00B3685A" w:rsidRDefault="00B3685A" w:rsidP="00153AFB">
            <w:pPr>
              <w:pStyle w:val="TableHeading"/>
              <w:jc w:val="center"/>
              <w:cnfStyle w:val="100000000000" w:firstRow="1" w:lastRow="0" w:firstColumn="0" w:lastColumn="0" w:oddVBand="0" w:evenVBand="0" w:oddHBand="0" w:evenHBand="0" w:firstRowFirstColumn="0" w:firstRowLastColumn="0" w:lastRowFirstColumn="0" w:lastRowLastColumn="0"/>
            </w:pPr>
            <w:r>
              <w:t>MU3</w:t>
            </w:r>
          </w:p>
        </w:tc>
        <w:tc>
          <w:tcPr>
            <w:tcW w:w="0" w:type="auto"/>
            <w:tcBorders>
              <w:left w:val="none" w:sz="0" w:space="0" w:color="auto"/>
              <w:right w:val="none" w:sz="0" w:space="0" w:color="auto"/>
            </w:tcBorders>
            <w:vAlign w:val="center"/>
          </w:tcPr>
          <w:p w14:paraId="15302DDA" w14:textId="77777777" w:rsidR="00B3685A" w:rsidRDefault="00B3685A" w:rsidP="00153AFB">
            <w:pPr>
              <w:pStyle w:val="TableHeading"/>
              <w:jc w:val="center"/>
              <w:cnfStyle w:val="100000000000" w:firstRow="1" w:lastRow="0" w:firstColumn="0" w:lastColumn="0" w:oddVBand="0" w:evenVBand="0" w:oddHBand="0" w:evenHBand="0" w:firstRowFirstColumn="0" w:firstRowLastColumn="0" w:lastRowFirstColumn="0" w:lastRowLastColumn="0"/>
            </w:pPr>
            <w:r>
              <w:t>MU4</w:t>
            </w:r>
          </w:p>
        </w:tc>
        <w:tc>
          <w:tcPr>
            <w:tcW w:w="0" w:type="auto"/>
            <w:tcBorders>
              <w:left w:val="none" w:sz="0" w:space="0" w:color="auto"/>
            </w:tcBorders>
            <w:vAlign w:val="center"/>
          </w:tcPr>
          <w:p w14:paraId="745BC874" w14:textId="77777777" w:rsidR="00B3685A" w:rsidRPr="00E463A2" w:rsidRDefault="00B3685A" w:rsidP="00153AFB">
            <w:pPr>
              <w:pStyle w:val="TableHeading"/>
              <w:jc w:val="center"/>
              <w:cnfStyle w:val="100000000000" w:firstRow="1" w:lastRow="0" w:firstColumn="0" w:lastColumn="0" w:oddVBand="0" w:evenVBand="0" w:oddHBand="0" w:evenHBand="0" w:firstRowFirstColumn="0" w:firstRowLastColumn="0" w:lastRowFirstColumn="0" w:lastRowLastColumn="0"/>
            </w:pPr>
            <w:r w:rsidRPr="00E463A2">
              <w:t>MU5</w:t>
            </w:r>
          </w:p>
        </w:tc>
      </w:tr>
      <w:tr w:rsidR="00B3685A" w14:paraId="6D92819D" w14:textId="77777777" w:rsidTr="00B3685A">
        <w:trPr>
          <w:trHeight w:val="428"/>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4B626694" w14:textId="77777777" w:rsidR="00B3685A" w:rsidRPr="00A66E04" w:rsidRDefault="00B3685A" w:rsidP="00153AFB">
            <w:pPr>
              <w:pStyle w:val="TableHeading"/>
            </w:pPr>
            <w:bookmarkStart w:id="200" w:name="_Hlk107936034"/>
            <w:r w:rsidRPr="00A66E04">
              <w:t>Locating assets in areas that will not be vulnerable to coastal hazards</w:t>
            </w:r>
            <w:r>
              <w:t xml:space="preserve"> </w:t>
            </w:r>
            <w:r w:rsidRPr="00A66E04">
              <w:t>(AV)</w:t>
            </w:r>
          </w:p>
        </w:tc>
        <w:tc>
          <w:tcPr>
            <w:tcW w:w="0" w:type="auto"/>
            <w:shd w:val="clear" w:color="auto" w:fill="6EB444" w:themeFill="accent3"/>
            <w:vAlign w:val="center"/>
          </w:tcPr>
          <w:p w14:paraId="19061F20"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11</w:t>
            </w:r>
          </w:p>
        </w:tc>
        <w:tc>
          <w:tcPr>
            <w:tcW w:w="0" w:type="auto"/>
            <w:shd w:val="clear" w:color="auto" w:fill="6EB444" w:themeFill="accent3"/>
            <w:vAlign w:val="center"/>
          </w:tcPr>
          <w:p w14:paraId="1AE4CAF2"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11</w:t>
            </w:r>
          </w:p>
        </w:tc>
        <w:tc>
          <w:tcPr>
            <w:tcW w:w="0" w:type="auto"/>
            <w:shd w:val="clear" w:color="auto" w:fill="6EB444" w:themeFill="accent3"/>
            <w:vAlign w:val="center"/>
          </w:tcPr>
          <w:p w14:paraId="564A61DB"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11</w:t>
            </w:r>
          </w:p>
        </w:tc>
        <w:tc>
          <w:tcPr>
            <w:tcW w:w="0" w:type="auto"/>
            <w:shd w:val="clear" w:color="auto" w:fill="6EB444" w:themeFill="accent3"/>
            <w:vAlign w:val="center"/>
          </w:tcPr>
          <w:p w14:paraId="7E98F462"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11</w:t>
            </w:r>
          </w:p>
        </w:tc>
        <w:tc>
          <w:tcPr>
            <w:tcW w:w="0" w:type="auto"/>
            <w:shd w:val="clear" w:color="auto" w:fill="6EB444" w:themeFill="accent3"/>
            <w:vAlign w:val="center"/>
          </w:tcPr>
          <w:p w14:paraId="4CE44E09"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11</w:t>
            </w:r>
          </w:p>
        </w:tc>
      </w:tr>
      <w:tr w:rsidR="00B3685A" w14:paraId="46387419" w14:textId="77777777" w:rsidTr="00B3685A">
        <w:trPr>
          <w:trHeight w:val="26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288355C7" w14:textId="77777777" w:rsidR="00B3685A" w:rsidRPr="00A66E04" w:rsidRDefault="00B3685A" w:rsidP="00153AFB">
            <w:pPr>
              <w:pStyle w:val="TableHeading"/>
            </w:pPr>
            <w:r w:rsidRPr="00A66E04">
              <w:t>Leaving assets unprotected</w:t>
            </w:r>
            <w:r>
              <w:t xml:space="preserve"> </w:t>
            </w:r>
            <w:r w:rsidRPr="00A66E04">
              <w:t>(PMR1)</w:t>
            </w:r>
          </w:p>
        </w:tc>
        <w:tc>
          <w:tcPr>
            <w:tcW w:w="0" w:type="auto"/>
            <w:shd w:val="clear" w:color="auto" w:fill="FFFFFF" w:themeFill="background1"/>
            <w:vAlign w:val="center"/>
          </w:tcPr>
          <w:p w14:paraId="517E82F1" w14:textId="77777777" w:rsidR="00B3685A" w:rsidRPr="007C706C"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N/A</w:t>
            </w:r>
          </w:p>
        </w:tc>
        <w:tc>
          <w:tcPr>
            <w:tcW w:w="0" w:type="auto"/>
            <w:shd w:val="clear" w:color="auto" w:fill="6EB444" w:themeFill="accent3"/>
            <w:vAlign w:val="center"/>
          </w:tcPr>
          <w:p w14:paraId="7D72349C"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0" w:type="auto"/>
            <w:shd w:val="clear" w:color="auto" w:fill="6EB444" w:themeFill="accent3"/>
            <w:vAlign w:val="center"/>
          </w:tcPr>
          <w:p w14:paraId="21593571"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0" w:type="auto"/>
            <w:shd w:val="clear" w:color="auto" w:fill="6EB444" w:themeFill="accent3"/>
            <w:vAlign w:val="center"/>
          </w:tcPr>
          <w:p w14:paraId="7663F1C3"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0" w:type="auto"/>
            <w:shd w:val="clear" w:color="auto" w:fill="FFFFFF" w:themeFill="background1"/>
            <w:vAlign w:val="center"/>
          </w:tcPr>
          <w:p w14:paraId="733EAB24"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N/A</w:t>
            </w:r>
          </w:p>
        </w:tc>
      </w:tr>
      <w:tr w:rsidR="00B3685A" w14:paraId="6C81C6D0" w14:textId="77777777" w:rsidTr="00B3685A">
        <w:trPr>
          <w:trHeight w:val="428"/>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7ECAABD5" w14:textId="77777777" w:rsidR="00B3685A" w:rsidRPr="00A66E04" w:rsidRDefault="00B3685A" w:rsidP="00153AFB">
            <w:pPr>
              <w:pStyle w:val="TableHeading"/>
            </w:pPr>
            <w:r w:rsidRPr="00A66E04">
              <w:t>Demolition / removal / relocation of asset from inside hazard area</w:t>
            </w:r>
            <w:r>
              <w:t xml:space="preserve"> </w:t>
            </w:r>
            <w:r w:rsidRPr="00A66E04">
              <w:t>(PMR2)</w:t>
            </w:r>
          </w:p>
        </w:tc>
        <w:tc>
          <w:tcPr>
            <w:tcW w:w="0" w:type="auto"/>
            <w:shd w:val="clear" w:color="auto" w:fill="6EB444" w:themeFill="accent3"/>
            <w:vAlign w:val="center"/>
          </w:tcPr>
          <w:p w14:paraId="402F18E5"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0" w:type="auto"/>
            <w:shd w:val="clear" w:color="auto" w:fill="6EB444" w:themeFill="accent3"/>
            <w:vAlign w:val="center"/>
          </w:tcPr>
          <w:p w14:paraId="69DACF3F"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7</w:t>
            </w:r>
          </w:p>
        </w:tc>
        <w:tc>
          <w:tcPr>
            <w:tcW w:w="0" w:type="auto"/>
            <w:shd w:val="clear" w:color="auto" w:fill="6EB444" w:themeFill="accent3"/>
            <w:vAlign w:val="center"/>
          </w:tcPr>
          <w:p w14:paraId="0A4D9DB9"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7</w:t>
            </w:r>
          </w:p>
        </w:tc>
        <w:tc>
          <w:tcPr>
            <w:tcW w:w="0" w:type="auto"/>
            <w:shd w:val="clear" w:color="auto" w:fill="6EB444" w:themeFill="accent3"/>
            <w:vAlign w:val="center"/>
          </w:tcPr>
          <w:p w14:paraId="5EA88305"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7</w:t>
            </w:r>
          </w:p>
        </w:tc>
        <w:tc>
          <w:tcPr>
            <w:tcW w:w="0" w:type="auto"/>
            <w:shd w:val="clear" w:color="auto" w:fill="6EB444" w:themeFill="accent3"/>
            <w:vAlign w:val="center"/>
          </w:tcPr>
          <w:p w14:paraId="01B7353B"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7</w:t>
            </w:r>
          </w:p>
        </w:tc>
      </w:tr>
      <w:tr w:rsidR="00B3685A" w14:paraId="2D27C8D3" w14:textId="77777777" w:rsidTr="00B3685A">
        <w:trPr>
          <w:trHeight w:val="428"/>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49B5041D" w14:textId="77777777" w:rsidR="00B3685A" w:rsidRPr="00A66E04" w:rsidRDefault="00B3685A" w:rsidP="00153AFB">
            <w:pPr>
              <w:pStyle w:val="TableHeading"/>
            </w:pPr>
            <w:r w:rsidRPr="00A66E04">
              <w:t>Prevention of further development / prohibit expansion of existing use rights</w:t>
            </w:r>
            <w:r>
              <w:t xml:space="preserve"> </w:t>
            </w:r>
            <w:r w:rsidRPr="00A66E04">
              <w:t>(PMR3)</w:t>
            </w:r>
          </w:p>
        </w:tc>
        <w:tc>
          <w:tcPr>
            <w:tcW w:w="0" w:type="auto"/>
            <w:shd w:val="clear" w:color="auto" w:fill="6EB444" w:themeFill="accent3"/>
            <w:vAlign w:val="center"/>
          </w:tcPr>
          <w:p w14:paraId="406BA254"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6</w:t>
            </w:r>
          </w:p>
        </w:tc>
        <w:tc>
          <w:tcPr>
            <w:tcW w:w="0" w:type="auto"/>
            <w:shd w:val="clear" w:color="auto" w:fill="6EB444" w:themeFill="accent3"/>
            <w:vAlign w:val="center"/>
          </w:tcPr>
          <w:p w14:paraId="7C3F4987"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6</w:t>
            </w:r>
          </w:p>
        </w:tc>
        <w:tc>
          <w:tcPr>
            <w:tcW w:w="0" w:type="auto"/>
            <w:shd w:val="clear" w:color="auto" w:fill="6EB444" w:themeFill="accent3"/>
            <w:vAlign w:val="center"/>
          </w:tcPr>
          <w:p w14:paraId="22F4B828"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6</w:t>
            </w:r>
          </w:p>
        </w:tc>
        <w:tc>
          <w:tcPr>
            <w:tcW w:w="0" w:type="auto"/>
            <w:shd w:val="clear" w:color="auto" w:fill="6EB444" w:themeFill="accent3"/>
            <w:vAlign w:val="center"/>
          </w:tcPr>
          <w:p w14:paraId="2149909A"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10</w:t>
            </w:r>
          </w:p>
        </w:tc>
        <w:tc>
          <w:tcPr>
            <w:tcW w:w="0" w:type="auto"/>
            <w:shd w:val="clear" w:color="auto" w:fill="6EB444" w:themeFill="accent3"/>
            <w:vAlign w:val="center"/>
          </w:tcPr>
          <w:p w14:paraId="1E3D3505"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6</w:t>
            </w:r>
          </w:p>
        </w:tc>
      </w:tr>
      <w:tr w:rsidR="00B3685A" w14:paraId="4E1C317D" w14:textId="77777777" w:rsidTr="00B3685A">
        <w:trPr>
          <w:trHeight w:val="26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6A500F7B" w14:textId="77777777" w:rsidR="00B3685A" w:rsidRPr="00A66E04" w:rsidRDefault="00B3685A" w:rsidP="00153AFB">
            <w:pPr>
              <w:pStyle w:val="TableHeading"/>
            </w:pPr>
            <w:r w:rsidRPr="00A66E04">
              <w:t>Voluntary acquisition</w:t>
            </w:r>
            <w:r>
              <w:t xml:space="preserve"> </w:t>
            </w:r>
            <w:r w:rsidRPr="00A66E04">
              <w:t>(PMR4)</w:t>
            </w:r>
          </w:p>
        </w:tc>
        <w:tc>
          <w:tcPr>
            <w:tcW w:w="0" w:type="auto"/>
            <w:shd w:val="clear" w:color="auto" w:fill="6EB444" w:themeFill="accent3"/>
            <w:vAlign w:val="center"/>
          </w:tcPr>
          <w:p w14:paraId="1C6ED0CE"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4</w:t>
            </w:r>
          </w:p>
        </w:tc>
        <w:tc>
          <w:tcPr>
            <w:tcW w:w="0" w:type="auto"/>
            <w:shd w:val="clear" w:color="auto" w:fill="6EB444" w:themeFill="accent3"/>
            <w:vAlign w:val="center"/>
          </w:tcPr>
          <w:p w14:paraId="624D309F"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5</w:t>
            </w:r>
          </w:p>
        </w:tc>
        <w:tc>
          <w:tcPr>
            <w:tcW w:w="0" w:type="auto"/>
            <w:shd w:val="clear" w:color="auto" w:fill="6EB444" w:themeFill="accent3"/>
            <w:vAlign w:val="center"/>
          </w:tcPr>
          <w:p w14:paraId="464F3008"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5</w:t>
            </w:r>
          </w:p>
        </w:tc>
        <w:tc>
          <w:tcPr>
            <w:tcW w:w="0" w:type="auto"/>
            <w:shd w:val="clear" w:color="auto" w:fill="6EB444" w:themeFill="accent3"/>
            <w:vAlign w:val="center"/>
          </w:tcPr>
          <w:p w14:paraId="66F28ECD"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5</w:t>
            </w:r>
          </w:p>
        </w:tc>
        <w:tc>
          <w:tcPr>
            <w:tcW w:w="0" w:type="auto"/>
            <w:shd w:val="clear" w:color="auto" w:fill="FFFFFF" w:themeFill="background1"/>
            <w:vAlign w:val="center"/>
          </w:tcPr>
          <w:p w14:paraId="025D3DE5"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N/A</w:t>
            </w:r>
          </w:p>
        </w:tc>
      </w:tr>
      <w:tr w:rsidR="00B3685A" w14:paraId="739960C9" w14:textId="77777777" w:rsidTr="00B3685A">
        <w:trPr>
          <w:trHeight w:val="252"/>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2AA36434" w14:textId="77777777" w:rsidR="00B3685A" w:rsidRPr="00A66E04" w:rsidRDefault="00B3685A" w:rsidP="00153AFB">
            <w:pPr>
              <w:pStyle w:val="TableHeading"/>
            </w:pPr>
            <w:r w:rsidRPr="00A66E04">
              <w:t>Design assets to withstand impacts</w:t>
            </w:r>
            <w:r>
              <w:t xml:space="preserve"> </w:t>
            </w:r>
            <w:r w:rsidRPr="00A66E04">
              <w:t>(AC1)</w:t>
            </w:r>
          </w:p>
        </w:tc>
        <w:tc>
          <w:tcPr>
            <w:tcW w:w="0" w:type="auto"/>
            <w:shd w:val="clear" w:color="auto" w:fill="6EB444" w:themeFill="accent3"/>
            <w:vAlign w:val="center"/>
          </w:tcPr>
          <w:p w14:paraId="5947D690"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shd w:val="clear" w:color="auto" w:fill="6EB444" w:themeFill="accent3"/>
            <w:vAlign w:val="center"/>
          </w:tcPr>
          <w:p w14:paraId="33FF2A94"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11</w:t>
            </w:r>
          </w:p>
        </w:tc>
        <w:tc>
          <w:tcPr>
            <w:tcW w:w="0" w:type="auto"/>
            <w:shd w:val="clear" w:color="auto" w:fill="6EB444" w:themeFill="accent3"/>
            <w:vAlign w:val="center"/>
          </w:tcPr>
          <w:p w14:paraId="5F11488E"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10</w:t>
            </w:r>
          </w:p>
        </w:tc>
        <w:tc>
          <w:tcPr>
            <w:tcW w:w="0" w:type="auto"/>
            <w:shd w:val="clear" w:color="auto" w:fill="6EB444" w:themeFill="accent3"/>
            <w:vAlign w:val="center"/>
          </w:tcPr>
          <w:p w14:paraId="351952CB"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10</w:t>
            </w:r>
          </w:p>
        </w:tc>
        <w:tc>
          <w:tcPr>
            <w:tcW w:w="0" w:type="auto"/>
            <w:shd w:val="clear" w:color="auto" w:fill="6EB444" w:themeFill="accent3"/>
            <w:vAlign w:val="center"/>
          </w:tcPr>
          <w:p w14:paraId="2789FC1B"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r>
      <w:tr w:rsidR="00B3685A" w14:paraId="683DC0F8" w14:textId="77777777" w:rsidTr="00B3685A">
        <w:trPr>
          <w:trHeight w:val="26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5E22FC13" w14:textId="77777777" w:rsidR="00B3685A" w:rsidRPr="00A66E04" w:rsidRDefault="00B3685A" w:rsidP="00153AFB">
            <w:pPr>
              <w:pStyle w:val="TableHeading"/>
            </w:pPr>
            <w:r w:rsidRPr="00A66E04">
              <w:t>Beach nourishment or replenishment</w:t>
            </w:r>
            <w:r>
              <w:t xml:space="preserve"> </w:t>
            </w:r>
            <w:r w:rsidRPr="00A66E04">
              <w:t>(PR1)</w:t>
            </w:r>
          </w:p>
        </w:tc>
        <w:tc>
          <w:tcPr>
            <w:tcW w:w="0" w:type="auto"/>
            <w:shd w:val="clear" w:color="auto" w:fill="6EB444" w:themeFill="accent3"/>
            <w:vAlign w:val="center"/>
          </w:tcPr>
          <w:p w14:paraId="7F2D44E2"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3</w:t>
            </w:r>
          </w:p>
        </w:tc>
        <w:tc>
          <w:tcPr>
            <w:tcW w:w="0" w:type="auto"/>
            <w:shd w:val="clear" w:color="auto" w:fill="6EB444" w:themeFill="accent3"/>
            <w:vAlign w:val="center"/>
          </w:tcPr>
          <w:p w14:paraId="06B88618" w14:textId="77777777" w:rsidR="00B3685A" w:rsidRPr="007C706C"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5</w:t>
            </w:r>
          </w:p>
        </w:tc>
        <w:tc>
          <w:tcPr>
            <w:tcW w:w="0" w:type="auto"/>
            <w:shd w:val="clear" w:color="auto" w:fill="6EB444" w:themeFill="accent3"/>
            <w:vAlign w:val="center"/>
          </w:tcPr>
          <w:p w14:paraId="6FFD0116"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4</w:t>
            </w:r>
          </w:p>
        </w:tc>
        <w:tc>
          <w:tcPr>
            <w:tcW w:w="0" w:type="auto"/>
            <w:shd w:val="clear" w:color="auto" w:fill="FF0000"/>
            <w:vAlign w:val="center"/>
          </w:tcPr>
          <w:p w14:paraId="581F95F0"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1</w:t>
            </w:r>
          </w:p>
        </w:tc>
        <w:tc>
          <w:tcPr>
            <w:tcW w:w="0" w:type="auto"/>
            <w:shd w:val="clear" w:color="auto" w:fill="FF8000" w:themeFill="accent4"/>
            <w:vAlign w:val="center"/>
          </w:tcPr>
          <w:p w14:paraId="4EC7F639"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0</w:t>
            </w:r>
          </w:p>
        </w:tc>
      </w:tr>
      <w:tr w:rsidR="00B3685A" w14:paraId="7FC12780" w14:textId="77777777" w:rsidTr="00B3685A">
        <w:trPr>
          <w:trHeight w:val="252"/>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2420E940" w14:textId="77777777" w:rsidR="00B3685A" w:rsidRPr="00A66E04" w:rsidRDefault="00B3685A" w:rsidP="00153AFB">
            <w:pPr>
              <w:pStyle w:val="TableHeading"/>
            </w:pPr>
            <w:r w:rsidRPr="00A66E04">
              <w:t>Groynes</w:t>
            </w:r>
            <w:r>
              <w:t xml:space="preserve"> </w:t>
            </w:r>
            <w:r w:rsidRPr="00A66E04">
              <w:t>(PR2)</w:t>
            </w:r>
          </w:p>
        </w:tc>
        <w:tc>
          <w:tcPr>
            <w:tcW w:w="0" w:type="auto"/>
            <w:shd w:val="clear" w:color="auto" w:fill="FF8000" w:themeFill="accent4"/>
            <w:vAlign w:val="center"/>
          </w:tcPr>
          <w:p w14:paraId="1DA0F918"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0" w:type="auto"/>
            <w:shd w:val="clear" w:color="auto" w:fill="FF0000"/>
            <w:vAlign w:val="center"/>
          </w:tcPr>
          <w:p w14:paraId="4380D414"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1</w:t>
            </w:r>
          </w:p>
        </w:tc>
        <w:tc>
          <w:tcPr>
            <w:tcW w:w="0" w:type="auto"/>
            <w:shd w:val="clear" w:color="auto" w:fill="FF0000"/>
            <w:vAlign w:val="center"/>
          </w:tcPr>
          <w:p w14:paraId="4054CC3F"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2</w:t>
            </w:r>
          </w:p>
        </w:tc>
        <w:tc>
          <w:tcPr>
            <w:tcW w:w="0" w:type="auto"/>
            <w:shd w:val="clear" w:color="auto" w:fill="FF0000"/>
            <w:vAlign w:val="center"/>
          </w:tcPr>
          <w:p w14:paraId="102C6395"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8</w:t>
            </w:r>
          </w:p>
        </w:tc>
        <w:tc>
          <w:tcPr>
            <w:tcW w:w="0" w:type="auto"/>
            <w:shd w:val="clear" w:color="auto" w:fill="FF0000"/>
            <w:vAlign w:val="center"/>
          </w:tcPr>
          <w:p w14:paraId="11F504AD"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-2</w:t>
            </w:r>
          </w:p>
        </w:tc>
      </w:tr>
      <w:tr w:rsidR="00B3685A" w14:paraId="7F05E757" w14:textId="77777777" w:rsidTr="00B3685A">
        <w:trPr>
          <w:trHeight w:val="26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301564B8" w14:textId="77777777" w:rsidR="00B3685A" w:rsidRPr="00A66E04" w:rsidRDefault="00B3685A" w:rsidP="00153AFB">
            <w:pPr>
              <w:pStyle w:val="TableHeading"/>
            </w:pPr>
            <w:r w:rsidRPr="00A66E04">
              <w:t>Seawalls</w:t>
            </w:r>
            <w:r>
              <w:t xml:space="preserve"> </w:t>
            </w:r>
            <w:r w:rsidRPr="00A66E04">
              <w:t>(PR3)</w:t>
            </w:r>
          </w:p>
        </w:tc>
        <w:tc>
          <w:tcPr>
            <w:tcW w:w="0" w:type="auto"/>
            <w:shd w:val="clear" w:color="auto" w:fill="6EB444" w:themeFill="accent3"/>
            <w:vAlign w:val="center"/>
          </w:tcPr>
          <w:p w14:paraId="3FC5AD34"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0" w:type="auto"/>
            <w:shd w:val="clear" w:color="auto" w:fill="FF8000" w:themeFill="accent4"/>
            <w:vAlign w:val="center"/>
          </w:tcPr>
          <w:p w14:paraId="1D926CE0"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0</w:t>
            </w:r>
          </w:p>
        </w:tc>
        <w:tc>
          <w:tcPr>
            <w:tcW w:w="0" w:type="auto"/>
            <w:shd w:val="clear" w:color="auto" w:fill="FF0000"/>
            <w:vAlign w:val="center"/>
          </w:tcPr>
          <w:p w14:paraId="15677DB5"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2</w:t>
            </w:r>
          </w:p>
        </w:tc>
        <w:tc>
          <w:tcPr>
            <w:tcW w:w="0" w:type="auto"/>
            <w:shd w:val="clear" w:color="auto" w:fill="FF0000"/>
            <w:vAlign w:val="center"/>
          </w:tcPr>
          <w:p w14:paraId="3E4E424D"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12</w:t>
            </w:r>
          </w:p>
        </w:tc>
        <w:tc>
          <w:tcPr>
            <w:tcW w:w="0" w:type="auto"/>
            <w:shd w:val="clear" w:color="auto" w:fill="FF0000"/>
            <w:vAlign w:val="center"/>
          </w:tcPr>
          <w:p w14:paraId="5B524AA1"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-2</w:t>
            </w:r>
          </w:p>
        </w:tc>
      </w:tr>
      <w:tr w:rsidR="00B3685A" w14:paraId="14CFC684" w14:textId="77777777" w:rsidTr="00B3685A">
        <w:trPr>
          <w:trHeight w:val="252"/>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2088E12E" w14:textId="77777777" w:rsidR="00B3685A" w:rsidRPr="00A66E04" w:rsidRDefault="00B3685A" w:rsidP="00153AFB">
            <w:pPr>
              <w:pStyle w:val="TableHeading"/>
            </w:pPr>
            <w:r w:rsidRPr="00A66E04">
              <w:t>Artificial reef</w:t>
            </w:r>
            <w:r>
              <w:t xml:space="preserve"> </w:t>
            </w:r>
            <w:r w:rsidRPr="00A66E04">
              <w:t>(PR4)</w:t>
            </w:r>
          </w:p>
        </w:tc>
        <w:tc>
          <w:tcPr>
            <w:tcW w:w="0" w:type="auto"/>
            <w:shd w:val="clear" w:color="auto" w:fill="FF0000"/>
            <w:vAlign w:val="center"/>
          </w:tcPr>
          <w:p w14:paraId="3E335CD4"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0" w:type="auto"/>
            <w:shd w:val="clear" w:color="auto" w:fill="FF0000"/>
            <w:vAlign w:val="center"/>
          </w:tcPr>
          <w:p w14:paraId="537D16EB"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2</w:t>
            </w:r>
          </w:p>
        </w:tc>
        <w:tc>
          <w:tcPr>
            <w:tcW w:w="0" w:type="auto"/>
            <w:shd w:val="clear" w:color="auto" w:fill="FF0000"/>
            <w:vAlign w:val="center"/>
          </w:tcPr>
          <w:p w14:paraId="00E5106A"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2</w:t>
            </w:r>
          </w:p>
        </w:tc>
        <w:tc>
          <w:tcPr>
            <w:tcW w:w="0" w:type="auto"/>
            <w:shd w:val="clear" w:color="auto" w:fill="FF0000"/>
            <w:vAlign w:val="center"/>
          </w:tcPr>
          <w:p w14:paraId="6EB35A38"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2</w:t>
            </w:r>
          </w:p>
        </w:tc>
        <w:tc>
          <w:tcPr>
            <w:tcW w:w="0" w:type="auto"/>
            <w:shd w:val="clear" w:color="auto" w:fill="FF0000"/>
            <w:vAlign w:val="center"/>
          </w:tcPr>
          <w:p w14:paraId="7198FA85"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w:t>
            </w:r>
          </w:p>
        </w:tc>
      </w:tr>
      <w:tr w:rsidR="00B3685A" w14:paraId="0DA9659D" w14:textId="77777777" w:rsidTr="00B3685A">
        <w:trPr>
          <w:trHeight w:val="26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01FF75B9" w14:textId="77777777" w:rsidR="00B3685A" w:rsidRPr="00A66E04" w:rsidRDefault="00B3685A" w:rsidP="00153AFB">
            <w:pPr>
              <w:pStyle w:val="TableHeading"/>
            </w:pPr>
            <w:r w:rsidRPr="00A66E04">
              <w:t>Offshore breakwater</w:t>
            </w:r>
            <w:r>
              <w:t xml:space="preserve"> </w:t>
            </w:r>
            <w:r w:rsidRPr="00A66E04">
              <w:t>(PR5)</w:t>
            </w:r>
          </w:p>
        </w:tc>
        <w:tc>
          <w:tcPr>
            <w:tcW w:w="0" w:type="auto"/>
            <w:shd w:val="clear" w:color="auto" w:fill="FF0000"/>
            <w:vAlign w:val="center"/>
          </w:tcPr>
          <w:p w14:paraId="4053DD6C"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-5</w:t>
            </w:r>
          </w:p>
        </w:tc>
        <w:tc>
          <w:tcPr>
            <w:tcW w:w="0" w:type="auto"/>
            <w:shd w:val="clear" w:color="auto" w:fill="FF0000"/>
            <w:vAlign w:val="center"/>
          </w:tcPr>
          <w:p w14:paraId="6C62604F"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-5</w:t>
            </w:r>
          </w:p>
        </w:tc>
        <w:tc>
          <w:tcPr>
            <w:tcW w:w="0" w:type="auto"/>
            <w:shd w:val="clear" w:color="auto" w:fill="FF0000"/>
            <w:vAlign w:val="center"/>
          </w:tcPr>
          <w:p w14:paraId="1515B302"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-5</w:t>
            </w:r>
          </w:p>
        </w:tc>
        <w:tc>
          <w:tcPr>
            <w:tcW w:w="0" w:type="auto"/>
            <w:shd w:val="clear" w:color="auto" w:fill="FF0000"/>
            <w:vAlign w:val="center"/>
          </w:tcPr>
          <w:p w14:paraId="7C811463"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-5</w:t>
            </w:r>
          </w:p>
        </w:tc>
        <w:tc>
          <w:tcPr>
            <w:tcW w:w="0" w:type="auto"/>
            <w:shd w:val="clear" w:color="auto" w:fill="FF0000"/>
            <w:vAlign w:val="center"/>
          </w:tcPr>
          <w:p w14:paraId="7EF810CC"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w:t>
            </w:r>
          </w:p>
        </w:tc>
      </w:tr>
      <w:tr w:rsidR="00B3685A" w14:paraId="1B3EB6F2" w14:textId="77777777" w:rsidTr="00B3685A">
        <w:trPr>
          <w:trHeight w:val="252"/>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36ABE31F" w14:textId="77777777" w:rsidR="00B3685A" w:rsidRPr="00A66E04" w:rsidRDefault="00B3685A" w:rsidP="00153AFB">
            <w:pPr>
              <w:pStyle w:val="TableHeading"/>
            </w:pPr>
            <w:r>
              <w:t>Levee / Weir / Storm Surge Barrier (PR6)</w:t>
            </w:r>
          </w:p>
        </w:tc>
        <w:tc>
          <w:tcPr>
            <w:tcW w:w="0" w:type="auto"/>
            <w:shd w:val="clear" w:color="auto" w:fill="FFFFFF" w:themeFill="background1"/>
            <w:vAlign w:val="center"/>
          </w:tcPr>
          <w:p w14:paraId="7B34E0BE" w14:textId="77777777" w:rsidR="00B3685A" w:rsidRPr="00674FAB"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N/A</w:t>
            </w:r>
          </w:p>
        </w:tc>
        <w:tc>
          <w:tcPr>
            <w:tcW w:w="0" w:type="auto"/>
            <w:shd w:val="clear" w:color="auto" w:fill="6EB444" w:themeFill="accent3"/>
            <w:vAlign w:val="center"/>
          </w:tcPr>
          <w:p w14:paraId="369ED9FA" w14:textId="77777777" w:rsidR="00B3685A" w:rsidRPr="00674FAB"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3</w:t>
            </w:r>
          </w:p>
        </w:tc>
        <w:tc>
          <w:tcPr>
            <w:tcW w:w="0" w:type="auto"/>
            <w:shd w:val="clear" w:color="auto" w:fill="6EB444" w:themeFill="accent3"/>
            <w:vAlign w:val="center"/>
          </w:tcPr>
          <w:p w14:paraId="071D1687" w14:textId="77777777" w:rsidR="00B3685A" w:rsidRPr="00674FAB"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2</w:t>
            </w:r>
          </w:p>
        </w:tc>
        <w:tc>
          <w:tcPr>
            <w:tcW w:w="0" w:type="auto"/>
            <w:shd w:val="clear" w:color="auto" w:fill="6EB444" w:themeFill="accent3"/>
            <w:vAlign w:val="center"/>
          </w:tcPr>
          <w:p w14:paraId="01F5F032" w14:textId="77777777" w:rsidR="00B3685A" w:rsidRPr="00674FAB"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w:t>
            </w:r>
          </w:p>
        </w:tc>
        <w:tc>
          <w:tcPr>
            <w:tcW w:w="0" w:type="auto"/>
            <w:shd w:val="clear" w:color="auto" w:fill="6EB444" w:themeFill="accent3"/>
            <w:vAlign w:val="center"/>
          </w:tcPr>
          <w:p w14:paraId="530C55A7"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1</w:t>
            </w:r>
          </w:p>
        </w:tc>
      </w:tr>
      <w:tr w:rsidR="00B3685A" w14:paraId="490D5C55" w14:textId="77777777" w:rsidTr="00B3685A">
        <w:trPr>
          <w:trHeight w:val="26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4FFD3323" w14:textId="77777777" w:rsidR="00B3685A" w:rsidRPr="00A66E04" w:rsidRDefault="00B3685A" w:rsidP="00153AFB">
            <w:pPr>
              <w:pStyle w:val="TableHeading"/>
            </w:pPr>
            <w:r w:rsidRPr="00A66E04">
              <w:t>Monitoring</w:t>
            </w:r>
            <w:r>
              <w:t xml:space="preserve"> </w:t>
            </w:r>
            <w:r w:rsidRPr="00A66E04">
              <w:t>(NR1)</w:t>
            </w:r>
          </w:p>
        </w:tc>
        <w:tc>
          <w:tcPr>
            <w:tcW w:w="0" w:type="auto"/>
            <w:shd w:val="clear" w:color="auto" w:fill="6EB444" w:themeFill="accent3"/>
            <w:vAlign w:val="center"/>
          </w:tcPr>
          <w:p w14:paraId="3F9F9BA8"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shd w:val="clear" w:color="auto" w:fill="6EB444" w:themeFill="accent3"/>
            <w:vAlign w:val="center"/>
          </w:tcPr>
          <w:p w14:paraId="692362FB"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shd w:val="clear" w:color="auto" w:fill="6EB444" w:themeFill="accent3"/>
            <w:vAlign w:val="center"/>
          </w:tcPr>
          <w:p w14:paraId="0D99270E"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shd w:val="clear" w:color="auto" w:fill="6EB444" w:themeFill="accent3"/>
            <w:vAlign w:val="center"/>
          </w:tcPr>
          <w:p w14:paraId="477BFED4"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shd w:val="clear" w:color="auto" w:fill="6EB444" w:themeFill="accent3"/>
            <w:vAlign w:val="center"/>
          </w:tcPr>
          <w:p w14:paraId="7AEBF470"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r>
      <w:tr w:rsidR="00B3685A" w14:paraId="1C45B06A" w14:textId="77777777" w:rsidTr="00B3685A">
        <w:trPr>
          <w:trHeight w:val="252"/>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209BF53C" w14:textId="77777777" w:rsidR="00B3685A" w:rsidRPr="00A66E04" w:rsidRDefault="00B3685A" w:rsidP="00153AFB">
            <w:pPr>
              <w:pStyle w:val="TableHeading"/>
            </w:pPr>
            <w:r w:rsidRPr="00A66E04">
              <w:t>Protection Structure Audit</w:t>
            </w:r>
            <w:r>
              <w:t xml:space="preserve"> </w:t>
            </w:r>
            <w:r w:rsidRPr="00A66E04">
              <w:t>(NR2)</w:t>
            </w:r>
          </w:p>
        </w:tc>
        <w:tc>
          <w:tcPr>
            <w:tcW w:w="0" w:type="auto"/>
            <w:shd w:val="clear" w:color="auto" w:fill="6EB444" w:themeFill="accent3"/>
            <w:vAlign w:val="center"/>
          </w:tcPr>
          <w:p w14:paraId="1A1BB5CC"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shd w:val="clear" w:color="auto" w:fill="6EB444" w:themeFill="accent3"/>
            <w:vAlign w:val="center"/>
          </w:tcPr>
          <w:p w14:paraId="341A1306"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shd w:val="clear" w:color="auto" w:fill="6EB444" w:themeFill="accent3"/>
            <w:vAlign w:val="center"/>
          </w:tcPr>
          <w:p w14:paraId="6758A4B2"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vAlign w:val="center"/>
          </w:tcPr>
          <w:p w14:paraId="4EB3207F"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N/A</w:t>
            </w:r>
          </w:p>
        </w:tc>
        <w:tc>
          <w:tcPr>
            <w:tcW w:w="0" w:type="auto"/>
            <w:shd w:val="clear" w:color="auto" w:fill="6EB444" w:themeFill="accent3"/>
            <w:vAlign w:val="center"/>
          </w:tcPr>
          <w:p w14:paraId="48F28E30"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r>
      <w:tr w:rsidR="00B3685A" w14:paraId="6549C3C5" w14:textId="77777777" w:rsidTr="00B3685A">
        <w:trPr>
          <w:trHeight w:val="26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388D9857" w14:textId="77777777" w:rsidR="00B3685A" w:rsidRPr="00A66E04" w:rsidRDefault="00B3685A" w:rsidP="00153AFB">
            <w:pPr>
              <w:pStyle w:val="TableHeading"/>
            </w:pPr>
            <w:r w:rsidRPr="00A66E04">
              <w:t>Notification on title</w:t>
            </w:r>
            <w:r>
              <w:t xml:space="preserve"> </w:t>
            </w:r>
            <w:r w:rsidRPr="00A66E04">
              <w:t>(NR3)</w:t>
            </w:r>
          </w:p>
        </w:tc>
        <w:tc>
          <w:tcPr>
            <w:tcW w:w="0" w:type="auto"/>
            <w:shd w:val="clear" w:color="auto" w:fill="6EB444" w:themeFill="accent3"/>
            <w:vAlign w:val="center"/>
          </w:tcPr>
          <w:p w14:paraId="2B1A2689"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shd w:val="clear" w:color="auto" w:fill="6EB444" w:themeFill="accent3"/>
            <w:vAlign w:val="center"/>
          </w:tcPr>
          <w:p w14:paraId="254522F3"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shd w:val="clear" w:color="auto" w:fill="6EB444" w:themeFill="accent3"/>
            <w:vAlign w:val="center"/>
          </w:tcPr>
          <w:p w14:paraId="685A7B33"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shd w:val="clear" w:color="auto" w:fill="6EB444" w:themeFill="accent3"/>
            <w:vAlign w:val="center"/>
          </w:tcPr>
          <w:p w14:paraId="723532D5"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c>
          <w:tcPr>
            <w:tcW w:w="0" w:type="auto"/>
            <w:shd w:val="clear" w:color="auto" w:fill="6EB444" w:themeFill="accent3"/>
            <w:vAlign w:val="center"/>
          </w:tcPr>
          <w:p w14:paraId="7DEC1760"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8</w:t>
            </w:r>
          </w:p>
        </w:tc>
      </w:tr>
      <w:tr w:rsidR="00B3685A" w14:paraId="6C61075B" w14:textId="77777777" w:rsidTr="00B3685A">
        <w:trPr>
          <w:trHeight w:val="252"/>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tcBorders>
          </w:tcPr>
          <w:p w14:paraId="59E84D2F" w14:textId="77777777" w:rsidR="00B3685A" w:rsidRPr="00A66E04" w:rsidRDefault="00B3685A" w:rsidP="00153AFB">
            <w:pPr>
              <w:pStyle w:val="TableHeading"/>
            </w:pPr>
            <w:r w:rsidRPr="00A66E04">
              <w:t>Emergency evacuation plans</w:t>
            </w:r>
            <w:r>
              <w:t xml:space="preserve"> </w:t>
            </w:r>
            <w:r w:rsidRPr="00A66E04">
              <w:t>(NR4)</w:t>
            </w:r>
          </w:p>
        </w:tc>
        <w:tc>
          <w:tcPr>
            <w:tcW w:w="0" w:type="auto"/>
            <w:shd w:val="clear" w:color="auto" w:fill="6EB444" w:themeFill="accent3"/>
            <w:vAlign w:val="center"/>
          </w:tcPr>
          <w:p w14:paraId="3FE5DE23"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6</w:t>
            </w:r>
          </w:p>
        </w:tc>
        <w:tc>
          <w:tcPr>
            <w:tcW w:w="0" w:type="auto"/>
            <w:shd w:val="clear" w:color="auto" w:fill="6EB444" w:themeFill="accent3"/>
            <w:vAlign w:val="center"/>
          </w:tcPr>
          <w:p w14:paraId="7087CB4A"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6</w:t>
            </w:r>
          </w:p>
        </w:tc>
        <w:tc>
          <w:tcPr>
            <w:tcW w:w="0" w:type="auto"/>
            <w:shd w:val="clear" w:color="auto" w:fill="6EB444" w:themeFill="accent3"/>
            <w:vAlign w:val="center"/>
          </w:tcPr>
          <w:p w14:paraId="248EC946"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6</w:t>
            </w:r>
          </w:p>
        </w:tc>
        <w:tc>
          <w:tcPr>
            <w:tcW w:w="0" w:type="auto"/>
            <w:shd w:val="clear" w:color="auto" w:fill="6EB444" w:themeFill="accent3"/>
            <w:vAlign w:val="center"/>
          </w:tcPr>
          <w:p w14:paraId="14CC51C8"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6</w:t>
            </w:r>
          </w:p>
        </w:tc>
        <w:tc>
          <w:tcPr>
            <w:tcW w:w="0" w:type="auto"/>
            <w:shd w:val="clear" w:color="auto" w:fill="6EB444" w:themeFill="accent3"/>
            <w:vAlign w:val="center"/>
          </w:tcPr>
          <w:p w14:paraId="7D6A26D7"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t>6</w:t>
            </w:r>
          </w:p>
        </w:tc>
      </w:tr>
      <w:tr w:rsidR="00B3685A" w14:paraId="5BAE8ADF" w14:textId="77777777" w:rsidTr="00B3685A">
        <w:trPr>
          <w:trHeight w:val="252"/>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tcBorders>
          </w:tcPr>
          <w:p w14:paraId="616414A2" w14:textId="77777777" w:rsidR="00B3685A" w:rsidRPr="00A66E04" w:rsidRDefault="00B3685A" w:rsidP="00153AFB">
            <w:pPr>
              <w:pStyle w:val="TableHeading"/>
            </w:pPr>
            <w:r w:rsidRPr="00A66E04">
              <w:t>Do nothing</w:t>
            </w:r>
            <w:r>
              <w:t xml:space="preserve"> </w:t>
            </w:r>
            <w:r w:rsidRPr="00A66E04">
              <w:t>(DN1)</w:t>
            </w:r>
          </w:p>
        </w:tc>
        <w:tc>
          <w:tcPr>
            <w:tcW w:w="0" w:type="auto"/>
            <w:shd w:val="clear" w:color="auto" w:fill="FF0000"/>
            <w:vAlign w:val="center"/>
          </w:tcPr>
          <w:p w14:paraId="57787E51"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10</w:t>
            </w:r>
          </w:p>
        </w:tc>
        <w:tc>
          <w:tcPr>
            <w:tcW w:w="0" w:type="auto"/>
            <w:shd w:val="clear" w:color="auto" w:fill="FF0000"/>
            <w:vAlign w:val="center"/>
          </w:tcPr>
          <w:p w14:paraId="4492BFBE"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10</w:t>
            </w:r>
          </w:p>
        </w:tc>
        <w:tc>
          <w:tcPr>
            <w:tcW w:w="0" w:type="auto"/>
            <w:shd w:val="clear" w:color="auto" w:fill="FF0000"/>
            <w:vAlign w:val="center"/>
          </w:tcPr>
          <w:p w14:paraId="4CD2BF74"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10</w:t>
            </w:r>
          </w:p>
        </w:tc>
        <w:tc>
          <w:tcPr>
            <w:tcW w:w="0" w:type="auto"/>
            <w:shd w:val="clear" w:color="auto" w:fill="FF0000"/>
            <w:vAlign w:val="center"/>
          </w:tcPr>
          <w:p w14:paraId="4C07A067"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7</w:t>
            </w:r>
          </w:p>
        </w:tc>
        <w:tc>
          <w:tcPr>
            <w:tcW w:w="0" w:type="auto"/>
            <w:shd w:val="clear" w:color="auto" w:fill="FF0000"/>
            <w:vAlign w:val="center"/>
          </w:tcPr>
          <w:p w14:paraId="5BA17266" w14:textId="77777777" w:rsidR="00B3685A" w:rsidRDefault="00B3685A" w:rsidP="00153AFB">
            <w:pPr>
              <w:pStyle w:val="TableText"/>
              <w:jc w:val="center"/>
              <w:cnfStyle w:val="000000000000" w:firstRow="0" w:lastRow="0" w:firstColumn="0" w:lastColumn="0" w:oddVBand="0" w:evenVBand="0" w:oddHBand="0" w:evenHBand="0" w:firstRowFirstColumn="0" w:firstRowLastColumn="0" w:lastRowFirstColumn="0" w:lastRowLastColumn="0"/>
            </w:pPr>
            <w:r w:rsidRPr="00674FAB">
              <w:t>-</w:t>
            </w:r>
            <w:r>
              <w:t>7</w:t>
            </w:r>
          </w:p>
        </w:tc>
      </w:tr>
      <w:bookmarkEnd w:id="200"/>
    </w:tbl>
    <w:p w14:paraId="4B3CECD8" w14:textId="77777777" w:rsidR="00CD4C64" w:rsidRPr="00CD4C64" w:rsidRDefault="00CD4C64" w:rsidP="00CD4C64">
      <w:pPr>
        <w:pStyle w:val="BodyText"/>
      </w:pPr>
    </w:p>
    <w:p w14:paraId="38CEFA1D" w14:textId="775DFA1B" w:rsidR="00AF34DF" w:rsidRDefault="00AF34DF" w:rsidP="001500B6">
      <w:pPr>
        <w:pStyle w:val="Heading1"/>
      </w:pPr>
      <w:bookmarkStart w:id="201" w:name="_Toc164420886"/>
      <w:r>
        <w:lastRenderedPageBreak/>
        <w:t>Risk Treatment Analysis</w:t>
      </w:r>
      <w:bookmarkEnd w:id="201"/>
    </w:p>
    <w:p w14:paraId="5413CEA1" w14:textId="2DE47943" w:rsidR="0094168C" w:rsidRPr="0094168C" w:rsidRDefault="0094168C" w:rsidP="0094168C">
      <w:pPr>
        <w:pStyle w:val="BodyText"/>
      </w:pPr>
      <w:r>
        <w:t>An</w:t>
      </w:r>
      <w:r w:rsidRPr="00CC0F64">
        <w:t xml:space="preserve"> </w:t>
      </w:r>
      <w:r>
        <w:t xml:space="preserve">Assessment of </w:t>
      </w:r>
      <w:r w:rsidRPr="00CC0F64">
        <w:t xml:space="preserve">Risk Treatment </w:t>
      </w:r>
      <w:r>
        <w:t xml:space="preserve">Options Chapter </w:t>
      </w:r>
      <w:r w:rsidRPr="00CC0F64">
        <w:t>Report</w:t>
      </w:r>
      <w:r>
        <w:t xml:space="preserve"> </w:t>
      </w:r>
      <w:r w:rsidRPr="00580FE3">
        <w:t>(</w:t>
      </w:r>
      <w:r>
        <w:fldChar w:fldCharType="begin"/>
      </w:r>
      <w:r>
        <w:instrText xml:space="preserve"> REF _Ref164240459 \n \h </w:instrText>
      </w:r>
      <w:r>
        <w:fldChar w:fldCharType="separate"/>
      </w:r>
      <w:r>
        <w:t>Appendix F</w:t>
      </w:r>
      <w:r>
        <w:fldChar w:fldCharType="end"/>
      </w:r>
      <w:r w:rsidRPr="00580FE3">
        <w:t>)</w:t>
      </w:r>
      <w:r>
        <w:t xml:space="preserve"> was prepared to analyse options </w:t>
      </w:r>
      <w:r w:rsidRPr="00CC0F64">
        <w:t>using</w:t>
      </w:r>
      <w:r>
        <w:t xml:space="preserve"> Cost-Benefit Analysis (CBA)</w:t>
      </w:r>
      <w:r w:rsidRPr="00CC0F64">
        <w:t>.</w:t>
      </w:r>
      <w:r>
        <w:t xml:space="preserve"> A summary is provided below.</w:t>
      </w:r>
    </w:p>
    <w:p w14:paraId="211D6DFA" w14:textId="77777777" w:rsidR="00CD4C64" w:rsidRDefault="00CD4C64" w:rsidP="00CD4C64">
      <w:pPr>
        <w:pStyle w:val="Heading2"/>
        <w:numPr>
          <w:ilvl w:val="1"/>
          <w:numId w:val="14"/>
        </w:numPr>
      </w:pPr>
      <w:bookmarkStart w:id="202" w:name="_Toc152578235"/>
      <w:bookmarkStart w:id="203" w:name="_Toc164420887"/>
      <w:r>
        <w:t>Cost Benefit Analysis</w:t>
      </w:r>
      <w:bookmarkEnd w:id="202"/>
      <w:bookmarkEnd w:id="203"/>
    </w:p>
    <w:p w14:paraId="0110C4CC" w14:textId="77777777" w:rsidR="00CD4C64" w:rsidRDefault="00CD4C64" w:rsidP="00CD4C64">
      <w:pPr>
        <w:pStyle w:val="Heading3"/>
        <w:numPr>
          <w:ilvl w:val="2"/>
          <w:numId w:val="14"/>
        </w:numPr>
      </w:pPr>
      <w:bookmarkStart w:id="204" w:name="_Toc119769351"/>
      <w:bookmarkStart w:id="205" w:name="_Toc120103419"/>
      <w:bookmarkStart w:id="206" w:name="_Toc152578236"/>
      <w:bookmarkStart w:id="207" w:name="_Toc164420888"/>
      <w:r>
        <w:t>Approach</w:t>
      </w:r>
      <w:bookmarkEnd w:id="204"/>
      <w:bookmarkEnd w:id="205"/>
      <w:bookmarkEnd w:id="206"/>
      <w:bookmarkEnd w:id="207"/>
    </w:p>
    <w:p w14:paraId="7B5A89B1" w14:textId="6A74554F" w:rsidR="00CD4C64" w:rsidRDefault="00CD4C64" w:rsidP="00CD4C64">
      <w:pPr>
        <w:pStyle w:val="BodyText"/>
      </w:pPr>
      <w:r>
        <w:t xml:space="preserve">The CBA aims to examine the selection of coastal adaptation options through economic analysis. This CBA includes coastal adaptation options requiring significant financial investment and </w:t>
      </w:r>
      <w:r w:rsidR="00E511E2">
        <w:t>recommended by</w:t>
      </w:r>
      <w:r>
        <w:t xml:space="preserve"> the MCA. While the CBA process assists in contrasting options available “</w:t>
      </w:r>
      <w:r w:rsidRPr="00D5518F">
        <w:rPr>
          <w:i/>
          <w:iCs/>
        </w:rPr>
        <w:t>at the time of the analysis</w:t>
      </w:r>
      <w:r>
        <w:rPr>
          <w:i/>
          <w:iCs/>
        </w:rPr>
        <w:t>”</w:t>
      </w:r>
      <w:r>
        <w:t xml:space="preserve"> and “</w:t>
      </w:r>
      <w:r>
        <w:rPr>
          <w:i/>
          <w:iCs/>
        </w:rPr>
        <w:t>for a set of specific assumptions“,</w:t>
      </w:r>
      <w:r>
        <w:t xml:space="preserve"> it is not the Panacea for decision-making. For instance, changing scientific, environmental and macro-economic considerations can upset cost estimates in the future. Some of the CBA assumptions may not hold true for the long duration often considered in CBA analysis for major infrastructure (</w:t>
      </w:r>
      <w:r w:rsidR="00E511E2">
        <w:t xml:space="preserve">for example due to global events and </w:t>
      </w:r>
      <w:r>
        <w:t>technological advances).</w:t>
      </w:r>
    </w:p>
    <w:p w14:paraId="5B61455C" w14:textId="77777777" w:rsidR="00CD4C64" w:rsidRDefault="00CD4C64" w:rsidP="00CD4C64">
      <w:pPr>
        <w:pStyle w:val="BodyText"/>
      </w:pPr>
      <w:r>
        <w:t>The CBA analysis allows selection of coastal adaptation options which are economically more defendable than other options which could require more effort to achieve a reduced outcome. However, to prepare a CBA some assumptions must be made, and changing these assumptions can significantly affect the valuation of economic benefits.</w:t>
      </w:r>
    </w:p>
    <w:p w14:paraId="3DAEBBC1" w14:textId="7E70FB6B" w:rsidR="00CD4C64" w:rsidRDefault="00CD4C64" w:rsidP="00CD4C64">
      <w:pPr>
        <w:pStyle w:val="BodyText"/>
      </w:pPr>
      <w:r>
        <w:t xml:space="preserve">For instance, the CHRMAP CBA has only addressed valuing the loss of assets, managed retreat and physical protection options. This CBA does not consider indirect costs that another user might consider to be a loss. For example, the analysis did not include costs associated with Special Control Area (SCA) title notifications, emergency planning, and development restrictions. Also, options selected have been designed to provide </w:t>
      </w:r>
      <w:r w:rsidR="00E511E2">
        <w:t xml:space="preserve">a </w:t>
      </w:r>
      <w:r>
        <w:t>similar level of beach and foreshore amen</w:t>
      </w:r>
      <w:r w:rsidR="00E511E2">
        <w:t>ity</w:t>
      </w:r>
      <w:r>
        <w:t xml:space="preserve"> to the present-day situation. This may not be practical. There may be further decisions about coastal amenities management (such as policies, planning decisions, legal proceedings, etc.), guided by community values, which may alter this assumption. Furthermore, in this CBA all coastal adaptation options are designed to provide beach and foreshore amenities into the future.</w:t>
      </w:r>
    </w:p>
    <w:p w14:paraId="7365B314" w14:textId="77777777" w:rsidR="00CD4C64" w:rsidRDefault="00CD4C64" w:rsidP="00CD4C64">
      <w:pPr>
        <w:pStyle w:val="BodyText"/>
      </w:pPr>
      <w:r>
        <w:t>The cost-benefit of each coastal adaptation option is presented in net present value (NPV) terms. NPV is a standard economic analysis to compare options with time-variable costs and benefits. It allows for the adjustment of all future economic considerations to present-day dollars for a more direct comparison. This relates to the time-value of money, as planned expenses in the future are, in a sense, cheaper than equivalent costs today. The real discount rate chosen for this project was 4%, with sensitivity analyses at 7% and 2%. This decision was based on similar assessments the very long timeframe of analysis, and concerns about valuing future spending so low, which is at odds with resilient coastal planning principles.</w:t>
      </w:r>
    </w:p>
    <w:p w14:paraId="1F93E98C" w14:textId="77777777" w:rsidR="00CD4C64" w:rsidRPr="005C6631" w:rsidRDefault="00CD4C64" w:rsidP="00CD4C64">
      <w:pPr>
        <w:pStyle w:val="BodyText"/>
      </w:pPr>
      <w:r w:rsidRPr="0001411C">
        <w:t xml:space="preserve">The CBA has been performed over a </w:t>
      </w:r>
      <w:r w:rsidRPr="00977F74">
        <w:t>100-year period,</w:t>
      </w:r>
      <w:r w:rsidRPr="00D73DD3">
        <w:t xml:space="preserve"> to match the project planning </w:t>
      </w:r>
      <w:r>
        <w:t>timeframe and meet the requirements of the CHRMAP</w:t>
      </w:r>
      <w:r w:rsidRPr="00D73DD3">
        <w:t xml:space="preserve">. It should be noted that the uncertainty around the CBA estimates and assumptions made grows with time. </w:t>
      </w:r>
      <w:r>
        <w:t>Cost e</w:t>
      </w:r>
      <w:r w:rsidRPr="00D73DD3">
        <w:t xml:space="preserve">stimates beyond 2040 should be viewed as indicative trends only. Long-term </w:t>
      </w:r>
      <w:r>
        <w:t xml:space="preserve">coastal </w:t>
      </w:r>
      <w:r w:rsidRPr="00D73DD3">
        <w:t xml:space="preserve">adaptation pathways should be monitored and updated </w:t>
      </w:r>
      <w:r>
        <w:t>regularly</w:t>
      </w:r>
      <w:r w:rsidRPr="00D73DD3">
        <w:t>.</w:t>
      </w:r>
    </w:p>
    <w:p w14:paraId="08736D44" w14:textId="77777777" w:rsidR="00CD4C64" w:rsidRDefault="00CD4C64" w:rsidP="00CD4C64">
      <w:pPr>
        <w:pStyle w:val="Heading3"/>
        <w:numPr>
          <w:ilvl w:val="2"/>
          <w:numId w:val="14"/>
        </w:numPr>
      </w:pPr>
      <w:bookmarkStart w:id="208" w:name="_Toc119769352"/>
      <w:bookmarkStart w:id="209" w:name="_Toc120103420"/>
      <w:bookmarkStart w:id="210" w:name="_Toc152578237"/>
      <w:bookmarkStart w:id="211" w:name="_Toc164420889"/>
      <w:r>
        <w:t>Options Suitable for Cost-Benefit Analysis</w:t>
      </w:r>
      <w:bookmarkEnd w:id="208"/>
      <w:bookmarkEnd w:id="209"/>
      <w:bookmarkEnd w:id="210"/>
      <w:bookmarkEnd w:id="211"/>
    </w:p>
    <w:p w14:paraId="4F336F2B" w14:textId="209ABA15" w:rsidR="00CD4C64" w:rsidRDefault="00CD4C64" w:rsidP="00CD4C64">
      <w:pPr>
        <w:pStyle w:val="BodyText"/>
      </w:pPr>
      <w:r>
        <w:t xml:space="preserve">The CBA has only addressed options, including practical and economic actions across the planning timeframe. The economic base case used for comparison is calculated by valuing the loss of assets and values in an assumed scenario of inaction rather than “Business As Usual” (BAU). Total inaction is unrealistic in practical terms as emergency management works and obligations of other legislation would require LGAs and State Departments to act when projected coastal erosion and inundation occur. The economic inaction scenario is also different to the “Do-Nothing” adaptation option, which would assume that anyone over the planning timeframe undertakes no actions or management, and that hazards and resultant asset loss/damage occur </w:t>
      </w:r>
      <w:r>
        <w:lastRenderedPageBreak/>
        <w:t>exactly as the hazard analysis suggests. The adaptation options considered suitable for CBA are summarised in</w:t>
      </w:r>
      <w:r w:rsidR="0094168C">
        <w:t xml:space="preserve"> </w:t>
      </w:r>
      <w:r w:rsidR="0094168C">
        <w:fldChar w:fldCharType="begin"/>
      </w:r>
      <w:r w:rsidR="0094168C">
        <w:instrText xml:space="preserve"> REF _Ref164240601 \h </w:instrText>
      </w:r>
      <w:r w:rsidR="0094168C">
        <w:fldChar w:fldCharType="separate"/>
      </w:r>
      <w:r w:rsidR="0094168C">
        <w:t>Table </w:t>
      </w:r>
      <w:r w:rsidR="0094168C">
        <w:rPr>
          <w:noProof/>
        </w:rPr>
        <w:t>7</w:t>
      </w:r>
      <w:r w:rsidR="0094168C">
        <w:noBreakHyphen/>
      </w:r>
      <w:r w:rsidR="0094168C">
        <w:rPr>
          <w:noProof/>
        </w:rPr>
        <w:t>1</w:t>
      </w:r>
      <w:r w:rsidR="0094168C">
        <w:fldChar w:fldCharType="end"/>
      </w:r>
      <w:r w:rsidR="0094168C">
        <w:t xml:space="preserve"> </w:t>
      </w:r>
      <w:r>
        <w:t xml:space="preserve">– managed retreat and physical protection options (e.g., </w:t>
      </w:r>
      <w:r w:rsidR="0094168C">
        <w:t xml:space="preserve">beach </w:t>
      </w:r>
      <w:r>
        <w:t>nourishment, groynes, seawalls, levee</w:t>
      </w:r>
      <w:r w:rsidR="00E511E2">
        <w:t>s</w:t>
      </w:r>
      <w:r>
        <w:t>).</w:t>
      </w:r>
    </w:p>
    <w:p w14:paraId="033C9792" w14:textId="3379A521" w:rsidR="00CD4C64" w:rsidRDefault="00CD4C64" w:rsidP="00CD4C64">
      <w:pPr>
        <w:pStyle w:val="TableCaption"/>
      </w:pPr>
      <w:bookmarkStart w:id="212" w:name="_Ref164240601"/>
      <w:bookmarkStart w:id="213" w:name="_Toc112770046"/>
      <w:bookmarkStart w:id="214" w:name="_Toc119258381"/>
      <w:bookmarkStart w:id="215" w:name="_Toc119774099"/>
      <w:bookmarkStart w:id="216" w:name="_Toc152578351"/>
      <w:bookmarkStart w:id="217" w:name="_Toc164411288"/>
      <w:r>
        <w:t>Table </w:t>
      </w:r>
      <w:r w:rsidR="008647EF">
        <w:fldChar w:fldCharType="begin"/>
      </w:r>
      <w:r w:rsidR="008647EF">
        <w:instrText xml:space="preserve"> STYLEREF 1 \s </w:instrText>
      </w:r>
      <w:r w:rsidR="008647EF">
        <w:fldChar w:fldCharType="separate"/>
      </w:r>
      <w:r w:rsidR="008647EF">
        <w:rPr>
          <w:noProof/>
        </w:rPr>
        <w:t>7</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1</w:t>
      </w:r>
      <w:r w:rsidR="008647EF">
        <w:fldChar w:fldCharType="end"/>
      </w:r>
      <w:bookmarkEnd w:id="212"/>
      <w:r>
        <w:tab/>
        <w:t>Risk treatment options from WAPC (2019)</w:t>
      </w:r>
      <w:bookmarkEnd w:id="213"/>
      <w:r>
        <w:t xml:space="preserve"> suitable for CBA. Note PR4</w:t>
      </w:r>
      <w:r w:rsidR="00E511E2">
        <w:t xml:space="preserve"> and PR5</w:t>
      </w:r>
      <w:r>
        <w:t xml:space="preserve"> </w:t>
      </w:r>
      <w:r w:rsidR="00E511E2">
        <w:t>are</w:t>
      </w:r>
      <w:r>
        <w:t xml:space="preserve"> greyed out as </w:t>
      </w:r>
      <w:r w:rsidR="00E511E2">
        <w:t>they</w:t>
      </w:r>
      <w:r>
        <w:t xml:space="preserve"> did not progress through MCA for any MU’s.</w:t>
      </w:r>
      <w:bookmarkEnd w:id="214"/>
      <w:bookmarkEnd w:id="215"/>
      <w:bookmarkEnd w:id="216"/>
      <w:bookmarkEnd w:id="217"/>
    </w:p>
    <w:tbl>
      <w:tblPr>
        <w:tblStyle w:val="BlueTable"/>
        <w:tblW w:w="8217" w:type="dxa"/>
        <w:tblLook w:val="0620" w:firstRow="1" w:lastRow="0" w:firstColumn="0" w:lastColumn="0" w:noHBand="1" w:noVBand="1"/>
      </w:tblPr>
      <w:tblGrid>
        <w:gridCol w:w="2663"/>
        <w:gridCol w:w="3485"/>
        <w:gridCol w:w="2069"/>
      </w:tblGrid>
      <w:tr w:rsidR="00CD4C64" w14:paraId="63F83962" w14:textId="77777777" w:rsidTr="00F65818">
        <w:trPr>
          <w:cnfStyle w:val="100000000000" w:firstRow="1" w:lastRow="0" w:firstColumn="0" w:lastColumn="0" w:oddVBand="0" w:evenVBand="0" w:oddHBand="0" w:evenHBand="0" w:firstRowFirstColumn="0" w:firstRowLastColumn="0" w:lastRowFirstColumn="0" w:lastRowLastColumn="0"/>
        </w:trPr>
        <w:tc>
          <w:tcPr>
            <w:tcW w:w="0" w:type="auto"/>
          </w:tcPr>
          <w:p w14:paraId="468F7270" w14:textId="77777777" w:rsidR="00CD4C64" w:rsidRDefault="00CD4C64" w:rsidP="00F65818">
            <w:pPr>
              <w:pStyle w:val="TableHeading"/>
            </w:pPr>
            <w:r>
              <w:t>Option Category</w:t>
            </w:r>
          </w:p>
        </w:tc>
        <w:tc>
          <w:tcPr>
            <w:tcW w:w="0" w:type="auto"/>
          </w:tcPr>
          <w:p w14:paraId="08260796" w14:textId="77777777" w:rsidR="00CD4C64" w:rsidRDefault="00CD4C64" w:rsidP="00F65818">
            <w:pPr>
              <w:pStyle w:val="TableHeading"/>
            </w:pPr>
            <w:r>
              <w:t>Option Name</w:t>
            </w:r>
          </w:p>
        </w:tc>
        <w:tc>
          <w:tcPr>
            <w:tcW w:w="2069" w:type="dxa"/>
          </w:tcPr>
          <w:p w14:paraId="35FDC841" w14:textId="77777777" w:rsidR="00CD4C64" w:rsidRDefault="00CD4C64" w:rsidP="00F65818">
            <w:pPr>
              <w:pStyle w:val="TableHeading"/>
            </w:pPr>
            <w:r>
              <w:t>Option Code</w:t>
            </w:r>
          </w:p>
        </w:tc>
      </w:tr>
      <w:tr w:rsidR="00CD4C64" w14:paraId="0F23A384" w14:textId="77777777" w:rsidTr="00F65818">
        <w:tc>
          <w:tcPr>
            <w:tcW w:w="0" w:type="auto"/>
          </w:tcPr>
          <w:p w14:paraId="44BE414A" w14:textId="77777777" w:rsidR="00CD4C64" w:rsidRDefault="00CD4C64" w:rsidP="00F65818">
            <w:pPr>
              <w:pStyle w:val="TableText"/>
            </w:pPr>
            <w:r>
              <w:t>Planned / Managed Retreat</w:t>
            </w:r>
          </w:p>
        </w:tc>
        <w:tc>
          <w:tcPr>
            <w:tcW w:w="0" w:type="auto"/>
          </w:tcPr>
          <w:p w14:paraId="51DB81CF" w14:textId="77777777" w:rsidR="00CD4C64" w:rsidRDefault="00CD4C64" w:rsidP="00F65818">
            <w:pPr>
              <w:pStyle w:val="TableText"/>
            </w:pPr>
            <w:r>
              <w:t>Voluntary acquisition</w:t>
            </w:r>
          </w:p>
        </w:tc>
        <w:tc>
          <w:tcPr>
            <w:tcW w:w="2069" w:type="dxa"/>
          </w:tcPr>
          <w:p w14:paraId="6D0FB870" w14:textId="77777777" w:rsidR="00CD4C64" w:rsidRDefault="00CD4C64" w:rsidP="00F65818">
            <w:pPr>
              <w:pStyle w:val="TableText"/>
            </w:pPr>
            <w:r>
              <w:t>PMR4</w:t>
            </w:r>
          </w:p>
        </w:tc>
      </w:tr>
      <w:tr w:rsidR="00CD4C64" w14:paraId="2F3C7729" w14:textId="77777777" w:rsidTr="00F65818">
        <w:tc>
          <w:tcPr>
            <w:tcW w:w="0" w:type="auto"/>
            <w:vMerge w:val="restart"/>
          </w:tcPr>
          <w:p w14:paraId="6544B81F" w14:textId="77777777" w:rsidR="00CD4C64" w:rsidRDefault="00CD4C64" w:rsidP="00F65818">
            <w:pPr>
              <w:pStyle w:val="TableText"/>
            </w:pPr>
            <w:r>
              <w:t>Protect</w:t>
            </w:r>
          </w:p>
        </w:tc>
        <w:tc>
          <w:tcPr>
            <w:tcW w:w="0" w:type="auto"/>
          </w:tcPr>
          <w:p w14:paraId="18586DCF" w14:textId="77777777" w:rsidR="00CD4C64" w:rsidRDefault="00CD4C64" w:rsidP="00F65818">
            <w:pPr>
              <w:pStyle w:val="TableText"/>
            </w:pPr>
            <w:r>
              <w:t>Beach nourishment or replenishment</w:t>
            </w:r>
          </w:p>
        </w:tc>
        <w:tc>
          <w:tcPr>
            <w:tcW w:w="2069" w:type="dxa"/>
          </w:tcPr>
          <w:p w14:paraId="13794AEF" w14:textId="77777777" w:rsidR="00CD4C64" w:rsidRDefault="00CD4C64" w:rsidP="00F65818">
            <w:pPr>
              <w:pStyle w:val="TableText"/>
            </w:pPr>
            <w:r>
              <w:t>PR1</w:t>
            </w:r>
          </w:p>
        </w:tc>
      </w:tr>
      <w:tr w:rsidR="00CD4C64" w14:paraId="794A1895" w14:textId="77777777" w:rsidTr="00F65818">
        <w:tc>
          <w:tcPr>
            <w:tcW w:w="0" w:type="auto"/>
            <w:vMerge/>
          </w:tcPr>
          <w:p w14:paraId="3DB42C8C" w14:textId="77777777" w:rsidR="00CD4C64" w:rsidRDefault="00CD4C64" w:rsidP="00F65818">
            <w:pPr>
              <w:pStyle w:val="TableText"/>
            </w:pPr>
          </w:p>
        </w:tc>
        <w:tc>
          <w:tcPr>
            <w:tcW w:w="0" w:type="auto"/>
          </w:tcPr>
          <w:p w14:paraId="441DC9BB" w14:textId="77777777" w:rsidR="00CD4C64" w:rsidRDefault="00CD4C64" w:rsidP="00F65818">
            <w:pPr>
              <w:pStyle w:val="TableText"/>
            </w:pPr>
            <w:r>
              <w:t>Groyne</w:t>
            </w:r>
          </w:p>
        </w:tc>
        <w:tc>
          <w:tcPr>
            <w:tcW w:w="2069" w:type="dxa"/>
          </w:tcPr>
          <w:p w14:paraId="45D0E0BA" w14:textId="77777777" w:rsidR="00CD4C64" w:rsidRDefault="00CD4C64" w:rsidP="00F65818">
            <w:pPr>
              <w:pStyle w:val="TableText"/>
            </w:pPr>
            <w:r>
              <w:t>PR2</w:t>
            </w:r>
          </w:p>
        </w:tc>
      </w:tr>
      <w:tr w:rsidR="00CD4C64" w14:paraId="55097540" w14:textId="77777777" w:rsidTr="00F65818">
        <w:tc>
          <w:tcPr>
            <w:tcW w:w="0" w:type="auto"/>
            <w:vMerge/>
          </w:tcPr>
          <w:p w14:paraId="2A9E043E" w14:textId="77777777" w:rsidR="00CD4C64" w:rsidRDefault="00CD4C64" w:rsidP="00F65818">
            <w:pPr>
              <w:pStyle w:val="TableText"/>
            </w:pPr>
          </w:p>
        </w:tc>
        <w:tc>
          <w:tcPr>
            <w:tcW w:w="0" w:type="auto"/>
          </w:tcPr>
          <w:p w14:paraId="0B157899" w14:textId="77777777" w:rsidR="00CD4C64" w:rsidRDefault="00CD4C64" w:rsidP="00F65818">
            <w:pPr>
              <w:pStyle w:val="TableText"/>
            </w:pPr>
            <w:r>
              <w:t>Seawall</w:t>
            </w:r>
          </w:p>
        </w:tc>
        <w:tc>
          <w:tcPr>
            <w:tcW w:w="2069" w:type="dxa"/>
          </w:tcPr>
          <w:p w14:paraId="51C0304A" w14:textId="77777777" w:rsidR="00CD4C64" w:rsidRDefault="00CD4C64" w:rsidP="00F65818">
            <w:pPr>
              <w:pStyle w:val="TableText"/>
            </w:pPr>
            <w:r>
              <w:t>PR3</w:t>
            </w:r>
          </w:p>
        </w:tc>
      </w:tr>
      <w:tr w:rsidR="00CD4C64" w14:paraId="36AD37D7" w14:textId="77777777" w:rsidTr="00F65818">
        <w:tc>
          <w:tcPr>
            <w:tcW w:w="0" w:type="auto"/>
            <w:vMerge/>
          </w:tcPr>
          <w:p w14:paraId="66E40771" w14:textId="77777777" w:rsidR="00CD4C64" w:rsidRDefault="00CD4C64" w:rsidP="00F65818">
            <w:pPr>
              <w:pStyle w:val="TableText"/>
            </w:pPr>
          </w:p>
        </w:tc>
        <w:tc>
          <w:tcPr>
            <w:tcW w:w="0" w:type="auto"/>
            <w:shd w:val="clear" w:color="auto" w:fill="BFBFBF" w:themeFill="background1" w:themeFillShade="BF"/>
          </w:tcPr>
          <w:p w14:paraId="54FE692B" w14:textId="77777777" w:rsidR="00CD4C64" w:rsidRDefault="00CD4C64" w:rsidP="00F65818">
            <w:pPr>
              <w:pStyle w:val="TableText"/>
            </w:pPr>
            <w:r>
              <w:t>Artificial reef</w:t>
            </w:r>
          </w:p>
        </w:tc>
        <w:tc>
          <w:tcPr>
            <w:tcW w:w="2069" w:type="dxa"/>
            <w:shd w:val="clear" w:color="auto" w:fill="BFBFBF" w:themeFill="background1" w:themeFillShade="BF"/>
          </w:tcPr>
          <w:p w14:paraId="3F157EC6" w14:textId="77777777" w:rsidR="00CD4C64" w:rsidRDefault="00CD4C64" w:rsidP="00F65818">
            <w:pPr>
              <w:pStyle w:val="TableText"/>
            </w:pPr>
            <w:r>
              <w:t>PR4</w:t>
            </w:r>
          </w:p>
        </w:tc>
      </w:tr>
      <w:tr w:rsidR="00CD4C64" w14:paraId="6D4BA560" w14:textId="77777777" w:rsidTr="00E511E2">
        <w:tc>
          <w:tcPr>
            <w:tcW w:w="0" w:type="auto"/>
            <w:vMerge/>
          </w:tcPr>
          <w:p w14:paraId="2E43F8A4" w14:textId="77777777" w:rsidR="00CD4C64" w:rsidRDefault="00CD4C64" w:rsidP="00F65818">
            <w:pPr>
              <w:pStyle w:val="TableText"/>
            </w:pPr>
          </w:p>
        </w:tc>
        <w:tc>
          <w:tcPr>
            <w:tcW w:w="0" w:type="auto"/>
            <w:shd w:val="clear" w:color="auto" w:fill="BFBFBF" w:themeFill="background1" w:themeFillShade="BF"/>
          </w:tcPr>
          <w:p w14:paraId="00A674A3" w14:textId="77777777" w:rsidR="00CD4C64" w:rsidRDefault="00CD4C64" w:rsidP="00F65818">
            <w:pPr>
              <w:pStyle w:val="TableText"/>
            </w:pPr>
            <w:r>
              <w:t>Offshore breakwater</w:t>
            </w:r>
          </w:p>
        </w:tc>
        <w:tc>
          <w:tcPr>
            <w:tcW w:w="2069" w:type="dxa"/>
            <w:shd w:val="clear" w:color="auto" w:fill="BFBFBF" w:themeFill="background1" w:themeFillShade="BF"/>
          </w:tcPr>
          <w:p w14:paraId="0CD54884" w14:textId="77777777" w:rsidR="00CD4C64" w:rsidRDefault="00CD4C64" w:rsidP="00F65818">
            <w:pPr>
              <w:pStyle w:val="TableText"/>
            </w:pPr>
            <w:r>
              <w:t>PR5</w:t>
            </w:r>
          </w:p>
        </w:tc>
      </w:tr>
      <w:tr w:rsidR="00CD4C64" w14:paraId="5C51292A" w14:textId="77777777" w:rsidTr="00F65818">
        <w:tc>
          <w:tcPr>
            <w:tcW w:w="0" w:type="auto"/>
            <w:vMerge/>
          </w:tcPr>
          <w:p w14:paraId="0A144CC7" w14:textId="77777777" w:rsidR="00CD4C64" w:rsidRDefault="00CD4C64" w:rsidP="00F65818">
            <w:pPr>
              <w:pStyle w:val="TableText"/>
            </w:pPr>
          </w:p>
        </w:tc>
        <w:tc>
          <w:tcPr>
            <w:tcW w:w="0" w:type="auto"/>
          </w:tcPr>
          <w:p w14:paraId="47D21196" w14:textId="47F988D6" w:rsidR="00CD4C64" w:rsidRDefault="00CD4C64" w:rsidP="00F65818">
            <w:pPr>
              <w:pStyle w:val="TableText"/>
            </w:pPr>
            <w:r w:rsidRPr="00470B49">
              <w:t>Lev</w:t>
            </w:r>
            <w:r>
              <w:t>ee</w:t>
            </w:r>
            <w:r w:rsidRPr="00470B49">
              <w:t xml:space="preserve"> </w:t>
            </w:r>
          </w:p>
        </w:tc>
        <w:tc>
          <w:tcPr>
            <w:tcW w:w="2069" w:type="dxa"/>
          </w:tcPr>
          <w:p w14:paraId="60F9702C" w14:textId="77777777" w:rsidR="00CD4C64" w:rsidRDefault="00CD4C64" w:rsidP="00F65818">
            <w:pPr>
              <w:pStyle w:val="TableText"/>
            </w:pPr>
            <w:r>
              <w:t>PR6</w:t>
            </w:r>
          </w:p>
        </w:tc>
      </w:tr>
    </w:tbl>
    <w:p w14:paraId="30A520A7" w14:textId="77777777" w:rsidR="00CD4C64" w:rsidRDefault="00CD4C64" w:rsidP="00CD4C64">
      <w:pPr>
        <w:pStyle w:val="Heading3"/>
        <w:numPr>
          <w:ilvl w:val="2"/>
          <w:numId w:val="14"/>
        </w:numPr>
      </w:pPr>
      <w:bookmarkStart w:id="218" w:name="_Toc119769353"/>
      <w:bookmarkStart w:id="219" w:name="_Toc120103421"/>
      <w:bookmarkStart w:id="220" w:name="_Toc152578238"/>
      <w:bookmarkStart w:id="221" w:name="_Toc164420890"/>
      <w:r>
        <w:t>Other Options</w:t>
      </w:r>
      <w:bookmarkEnd w:id="218"/>
      <w:bookmarkEnd w:id="219"/>
      <w:bookmarkEnd w:id="220"/>
      <w:bookmarkEnd w:id="221"/>
    </w:p>
    <w:p w14:paraId="49E26BD4" w14:textId="010C5D6F" w:rsidR="00CD4C64" w:rsidRDefault="00CD4C64" w:rsidP="00CD4C64">
      <w:pPr>
        <w:pStyle w:val="BodyText"/>
      </w:pPr>
      <w:r>
        <w:t>The remaining adaptation options from WAPC (2019) are not considered suitable for CBA and have been costed using traditional budgeting techniques for MUs where they received a positive MCA score. Section</w:t>
      </w:r>
      <w:r w:rsidR="0094168C">
        <w:t xml:space="preserve"> </w:t>
      </w:r>
      <w:r w:rsidR="0094168C">
        <w:fldChar w:fldCharType="begin"/>
      </w:r>
      <w:r w:rsidR="0094168C">
        <w:instrText xml:space="preserve"> REF _Ref164172820 \r \h </w:instrText>
      </w:r>
      <w:r w:rsidR="0094168C">
        <w:fldChar w:fldCharType="separate"/>
      </w:r>
      <w:r w:rsidR="0094168C">
        <w:t>8</w:t>
      </w:r>
      <w:r w:rsidR="0094168C">
        <w:fldChar w:fldCharType="end"/>
      </w:r>
      <w:r>
        <w:t xml:space="preserve"> provides cost estimates and notes on any scoping details or assumptions.</w:t>
      </w:r>
    </w:p>
    <w:p w14:paraId="0E4F7098" w14:textId="77777777" w:rsidR="00CD4C64" w:rsidRDefault="00CD4C64" w:rsidP="00CD4C64">
      <w:pPr>
        <w:pStyle w:val="Heading3"/>
        <w:numPr>
          <w:ilvl w:val="2"/>
          <w:numId w:val="14"/>
        </w:numPr>
      </w:pPr>
      <w:bookmarkStart w:id="222" w:name="_Toc120103422"/>
      <w:bookmarkStart w:id="223" w:name="_Toc152578239"/>
      <w:bookmarkStart w:id="224" w:name="_Toc164420891"/>
      <w:r>
        <w:t>Cost Benefit Analysis Methodology</w:t>
      </w:r>
      <w:bookmarkEnd w:id="222"/>
      <w:bookmarkEnd w:id="223"/>
      <w:bookmarkEnd w:id="224"/>
    </w:p>
    <w:p w14:paraId="189F4320" w14:textId="526920AC" w:rsidR="00CD4C64" w:rsidRDefault="00CD4C64" w:rsidP="00CD4C64">
      <w:pPr>
        <w:pStyle w:val="BodyText"/>
      </w:pPr>
      <w:r>
        <w:t>The steps taken to complete the CBA are summarised below:</w:t>
      </w:r>
    </w:p>
    <w:p w14:paraId="6FCB54FC" w14:textId="1EFB9FAD" w:rsidR="00CD4C64" w:rsidRDefault="00CD4C64" w:rsidP="00A97817">
      <w:pPr>
        <w:pStyle w:val="ListBullet0"/>
        <w:numPr>
          <w:ilvl w:val="0"/>
          <w:numId w:val="60"/>
        </w:numPr>
      </w:pPr>
      <w:r>
        <w:t xml:space="preserve">Finalise quantities of assets at risk for all </w:t>
      </w:r>
      <w:r w:rsidR="00E511E2">
        <w:t xml:space="preserve">asset </w:t>
      </w:r>
      <w:r>
        <w:t>categories for both erosion and inundation hazards for each Management Unit (MU) at each timeframe</w:t>
      </w:r>
    </w:p>
    <w:p w14:paraId="6688432D" w14:textId="319085A9" w:rsidR="00CD4C64" w:rsidRDefault="00CD4C64" w:rsidP="00A97817">
      <w:pPr>
        <w:pStyle w:val="ListBullet0"/>
        <w:numPr>
          <w:ilvl w:val="0"/>
          <w:numId w:val="60"/>
        </w:numPr>
      </w:pPr>
      <w:r>
        <w:t xml:space="preserve">Determine an appropriate unit value for each category for both loss to erosion </w:t>
      </w:r>
      <w:r w:rsidR="00E511E2">
        <w:t>and</w:t>
      </w:r>
      <w:r>
        <w:t xml:space="preserve"> damage by inundation</w:t>
      </w:r>
    </w:p>
    <w:p w14:paraId="14860A77" w14:textId="77777777" w:rsidR="00CD4C64" w:rsidRDefault="00CD4C64" w:rsidP="00A97817">
      <w:pPr>
        <w:pStyle w:val="ListBullet0"/>
        <w:numPr>
          <w:ilvl w:val="0"/>
          <w:numId w:val="60"/>
        </w:numPr>
      </w:pPr>
      <w:r>
        <w:t>Valuing the loss of existing assets and values – this assumes the scenario of complete inaction over the next 100 years</w:t>
      </w:r>
    </w:p>
    <w:p w14:paraId="754C2708" w14:textId="77777777" w:rsidR="00CD4C64" w:rsidRDefault="00CD4C64" w:rsidP="00A97817">
      <w:pPr>
        <w:pStyle w:val="ListBullet0"/>
        <w:numPr>
          <w:ilvl w:val="0"/>
          <w:numId w:val="60"/>
        </w:numPr>
      </w:pPr>
      <w:r>
        <w:t>Scoping and designing the adaptation options</w:t>
      </w:r>
    </w:p>
    <w:p w14:paraId="058259C4" w14:textId="77777777" w:rsidR="00CD4C64" w:rsidRDefault="00CD4C64" w:rsidP="00A97817">
      <w:pPr>
        <w:pStyle w:val="ListBullet0"/>
        <w:numPr>
          <w:ilvl w:val="0"/>
          <w:numId w:val="60"/>
        </w:numPr>
      </w:pPr>
      <w:r>
        <w:t>Pricing the adaptation options</w:t>
      </w:r>
    </w:p>
    <w:p w14:paraId="74BA716B" w14:textId="77777777" w:rsidR="00CD4C64" w:rsidRDefault="00CD4C64" w:rsidP="00A97817">
      <w:pPr>
        <w:pStyle w:val="ListBullet0"/>
        <w:numPr>
          <w:ilvl w:val="0"/>
          <w:numId w:val="60"/>
        </w:numPr>
      </w:pPr>
      <w:r>
        <w:t>Reducing all costs to NPV</w:t>
      </w:r>
    </w:p>
    <w:p w14:paraId="2F9DFF12" w14:textId="77777777" w:rsidR="00CD4C64" w:rsidRDefault="00CD4C64" w:rsidP="00A97817">
      <w:pPr>
        <w:pStyle w:val="ListBullet0"/>
        <w:numPr>
          <w:ilvl w:val="0"/>
          <w:numId w:val="60"/>
        </w:numPr>
      </w:pPr>
      <w:r>
        <w:t>Conducting sensitivity analysis on NPV discount rate used in analysis</w:t>
      </w:r>
    </w:p>
    <w:p w14:paraId="5B4F3047" w14:textId="77777777" w:rsidR="00CD4C64" w:rsidRDefault="00CD4C64" w:rsidP="00A97817">
      <w:pPr>
        <w:pStyle w:val="ListBullet0"/>
        <w:numPr>
          <w:ilvl w:val="0"/>
          <w:numId w:val="60"/>
        </w:numPr>
      </w:pPr>
      <w:r>
        <w:t>Presenting a summary of the inaction scenario and adaptation options in NPV for both erosion and inundation</w:t>
      </w:r>
    </w:p>
    <w:p w14:paraId="07FBEC5D" w14:textId="77777777" w:rsidR="00CD4C64" w:rsidRPr="005C6631" w:rsidRDefault="00CD4C64" w:rsidP="00A97817">
      <w:pPr>
        <w:pStyle w:val="ListBullet0"/>
        <w:numPr>
          <w:ilvl w:val="0"/>
          <w:numId w:val="60"/>
        </w:numPr>
      </w:pPr>
      <w:r>
        <w:t>Recommendation of options to proceed to for further consideration.</w:t>
      </w:r>
    </w:p>
    <w:p w14:paraId="66A753B8" w14:textId="77777777" w:rsidR="00CD4C64" w:rsidRDefault="00CD4C64" w:rsidP="00CD4C64">
      <w:pPr>
        <w:pStyle w:val="Heading3"/>
        <w:numPr>
          <w:ilvl w:val="2"/>
          <w:numId w:val="14"/>
        </w:numPr>
      </w:pPr>
      <w:bookmarkStart w:id="225" w:name="_Toc119769381"/>
      <w:bookmarkStart w:id="226" w:name="_Toc120103451"/>
      <w:bookmarkStart w:id="227" w:name="_Toc152578240"/>
      <w:bookmarkStart w:id="228" w:name="_Toc164420892"/>
      <w:r>
        <w:t>Recommended option(s) for further consideration for each MU</w:t>
      </w:r>
      <w:bookmarkEnd w:id="225"/>
      <w:bookmarkEnd w:id="226"/>
      <w:bookmarkEnd w:id="227"/>
      <w:bookmarkEnd w:id="228"/>
    </w:p>
    <w:p w14:paraId="3C43B2EE" w14:textId="77777777" w:rsidR="00CD4C64" w:rsidRPr="00FB1AD4" w:rsidRDefault="00CD4C64" w:rsidP="00CD4C64">
      <w:pPr>
        <w:pStyle w:val="BodyText"/>
      </w:pPr>
      <w:r w:rsidRPr="00FB1AD4">
        <w:t>The CBA has been used as an additional tool to assist decision</w:t>
      </w:r>
      <w:r>
        <w:t>-</w:t>
      </w:r>
      <w:r w:rsidRPr="00FB1AD4">
        <w:t xml:space="preserve">making when assessing adaptation options with which to proceed. </w:t>
      </w:r>
      <w:r>
        <w:t>However, t</w:t>
      </w:r>
      <w:r w:rsidRPr="00FB1AD4">
        <w:t xml:space="preserve">he reality that only some of the WAPC adaptation options are suitable for CBA, and the uncertainty in </w:t>
      </w:r>
      <w:r>
        <w:t xml:space="preserve">the </w:t>
      </w:r>
      <w:r w:rsidRPr="00FB1AD4">
        <w:t xml:space="preserve">effectiveness of those that are not suitable, means that the CBA results need to be used cautiously whilst considering the rest of the information identified during the </w:t>
      </w:r>
      <w:r>
        <w:t>CHRMAP</w:t>
      </w:r>
      <w:r w:rsidRPr="00FB1AD4">
        <w:t xml:space="preserve"> project.</w:t>
      </w:r>
    </w:p>
    <w:p w14:paraId="4047383E" w14:textId="78C61594" w:rsidR="00E511E2" w:rsidRDefault="00CD4C64" w:rsidP="00CD4C64">
      <w:pPr>
        <w:pStyle w:val="BodyText"/>
      </w:pPr>
      <w:r>
        <w:lastRenderedPageBreak/>
        <w:t>The r</w:t>
      </w:r>
      <w:r w:rsidRPr="00FB1AD4">
        <w:t>eview of the CBA results shows that the ranking of options for each MU by current NPV price depends on which discount rate is used. If options stayed in the same ranking for all three discount rates</w:t>
      </w:r>
      <w:r>
        <w:t>, there would be a stronger argument for selecting</w:t>
      </w:r>
      <w:r w:rsidRPr="00FB1AD4">
        <w:t xml:space="preserve"> a single option with which to proceed.</w:t>
      </w:r>
      <w:r>
        <w:t xml:space="preserve"> Options recommended to proceed are presented </w:t>
      </w:r>
      <w:r w:rsidRPr="000775E7">
        <w:t>in</w:t>
      </w:r>
      <w:r>
        <w:t xml:space="preserve"> </w:t>
      </w:r>
      <w:r>
        <w:fldChar w:fldCharType="begin"/>
      </w:r>
      <w:r>
        <w:instrText xml:space="preserve"> REF _Ref119268382 \h </w:instrText>
      </w:r>
      <w:r>
        <w:fldChar w:fldCharType="separate"/>
      </w:r>
      <w:r w:rsidR="00594B04">
        <w:t>Table </w:t>
      </w:r>
      <w:r w:rsidR="00594B04">
        <w:rPr>
          <w:noProof/>
        </w:rPr>
        <w:t>7</w:t>
      </w:r>
      <w:r w:rsidR="00594B04">
        <w:noBreakHyphen/>
      </w:r>
      <w:r w:rsidR="00594B04">
        <w:rPr>
          <w:noProof/>
        </w:rPr>
        <w:t>2</w:t>
      </w:r>
      <w:r>
        <w:fldChar w:fldCharType="end"/>
      </w:r>
      <w:r w:rsidRPr="000775E7">
        <w:t xml:space="preserve"> </w:t>
      </w:r>
      <w:r>
        <w:t>f</w:t>
      </w:r>
      <w:r w:rsidRPr="000775E7">
        <w:t>or erosion and</w:t>
      </w:r>
      <w:r>
        <w:t xml:space="preserve"> </w:t>
      </w:r>
      <w:r>
        <w:fldChar w:fldCharType="begin"/>
      </w:r>
      <w:r>
        <w:instrText xml:space="preserve"> REF _Ref119268392 \h </w:instrText>
      </w:r>
      <w:r>
        <w:fldChar w:fldCharType="separate"/>
      </w:r>
      <w:r w:rsidR="00594B04">
        <w:t>Table </w:t>
      </w:r>
      <w:r w:rsidR="00594B04">
        <w:rPr>
          <w:noProof/>
        </w:rPr>
        <w:t>7</w:t>
      </w:r>
      <w:r w:rsidR="00594B04">
        <w:noBreakHyphen/>
      </w:r>
      <w:r w:rsidR="00594B04">
        <w:rPr>
          <w:noProof/>
        </w:rPr>
        <w:t>3</w:t>
      </w:r>
      <w:r>
        <w:fldChar w:fldCharType="end"/>
      </w:r>
      <w:r w:rsidRPr="000775E7">
        <w:t xml:space="preserve"> for inundation.</w:t>
      </w:r>
      <w:r>
        <w:t xml:space="preserve"> </w:t>
      </w:r>
      <w:r w:rsidR="00E511E2" w:rsidRPr="00784190">
        <w:t xml:space="preserve">The recommendations have considered the CBA results holistically as well as being cognisant of the findings of previous stages of the CHRMAP. Other non-CBA options form part of </w:t>
      </w:r>
      <w:r w:rsidR="0094168C">
        <w:t xml:space="preserve">the </w:t>
      </w:r>
      <w:r w:rsidR="00FF3074">
        <w:t>i</w:t>
      </w:r>
      <w:r w:rsidR="00E511E2" w:rsidRPr="00784190">
        <w:t xml:space="preserve">mplementation </w:t>
      </w:r>
      <w:r w:rsidR="00FF3074">
        <w:t xml:space="preserve">recommendations in </w:t>
      </w:r>
      <w:r w:rsidR="00A83957" w:rsidRPr="00A3237E">
        <w:t xml:space="preserve">Section </w:t>
      </w:r>
      <w:r w:rsidR="00A3237E" w:rsidRPr="00A3237E">
        <w:fldChar w:fldCharType="begin"/>
      </w:r>
      <w:r w:rsidR="00A3237E" w:rsidRPr="00A3237E">
        <w:instrText xml:space="preserve"> REF _Ref164174566 \n \h </w:instrText>
      </w:r>
      <w:r w:rsidR="00A3237E">
        <w:instrText xml:space="preserve"> \* MERGEFORMAT </w:instrText>
      </w:r>
      <w:r w:rsidR="00A3237E" w:rsidRPr="00A3237E">
        <w:fldChar w:fldCharType="separate"/>
      </w:r>
      <w:r w:rsidR="00A3237E" w:rsidRPr="00A3237E">
        <w:t>8</w:t>
      </w:r>
      <w:r w:rsidR="00A3237E" w:rsidRPr="00A3237E">
        <w:fldChar w:fldCharType="end"/>
      </w:r>
      <w:r w:rsidR="00E511E2" w:rsidRPr="00A3237E">
        <w:t>.</w:t>
      </w:r>
    </w:p>
    <w:p w14:paraId="7AA2B45B" w14:textId="79D571B6" w:rsidR="00E511E2" w:rsidRDefault="00E511E2" w:rsidP="00E511E2">
      <w:pPr>
        <w:pStyle w:val="TableCaption"/>
      </w:pPr>
      <w:bookmarkStart w:id="229" w:name="_Ref119268382"/>
      <w:bookmarkStart w:id="230" w:name="_Toc119258409"/>
      <w:bookmarkStart w:id="231" w:name="_Toc119774123"/>
      <w:bookmarkStart w:id="232" w:name="_Toc145512610"/>
      <w:bookmarkStart w:id="233" w:name="_Toc164411289"/>
      <w:r>
        <w:t>Table </w:t>
      </w:r>
      <w:r w:rsidR="008647EF">
        <w:fldChar w:fldCharType="begin"/>
      </w:r>
      <w:r w:rsidR="008647EF">
        <w:instrText xml:space="preserve"> STYLEREF 1 \s </w:instrText>
      </w:r>
      <w:r w:rsidR="008647EF">
        <w:fldChar w:fldCharType="separate"/>
      </w:r>
      <w:r w:rsidR="008647EF">
        <w:rPr>
          <w:noProof/>
        </w:rPr>
        <w:t>7</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2</w:t>
      </w:r>
      <w:r w:rsidR="008647EF">
        <w:fldChar w:fldCharType="end"/>
      </w:r>
      <w:bookmarkEnd w:id="229"/>
      <w:r>
        <w:tab/>
        <w:t>Recommended CBA options for erosion for each MU</w:t>
      </w:r>
      <w:bookmarkEnd w:id="230"/>
      <w:bookmarkEnd w:id="231"/>
      <w:bookmarkEnd w:id="232"/>
      <w:bookmarkEnd w:id="233"/>
    </w:p>
    <w:tbl>
      <w:tblPr>
        <w:tblStyle w:val="BlueTable"/>
        <w:tblW w:w="0" w:type="auto"/>
        <w:tblLook w:val="0620" w:firstRow="1" w:lastRow="0" w:firstColumn="0" w:lastColumn="0" w:noHBand="1" w:noVBand="1"/>
      </w:tblPr>
      <w:tblGrid>
        <w:gridCol w:w="1565"/>
        <w:gridCol w:w="2222"/>
        <w:gridCol w:w="5841"/>
      </w:tblGrid>
      <w:tr w:rsidR="00E511E2" w14:paraId="15D79CF0" w14:textId="77777777" w:rsidTr="00153AFB">
        <w:trPr>
          <w:cnfStyle w:val="100000000000" w:firstRow="1" w:lastRow="0" w:firstColumn="0" w:lastColumn="0" w:oddVBand="0" w:evenVBand="0" w:oddHBand="0" w:evenHBand="0" w:firstRowFirstColumn="0" w:firstRowLastColumn="0" w:lastRowFirstColumn="0" w:lastRowLastColumn="0"/>
        </w:trPr>
        <w:tc>
          <w:tcPr>
            <w:tcW w:w="0" w:type="auto"/>
          </w:tcPr>
          <w:p w14:paraId="4EEE0576" w14:textId="77777777" w:rsidR="00E511E2" w:rsidRDefault="00E511E2" w:rsidP="00153AFB">
            <w:pPr>
              <w:pStyle w:val="TableHeading"/>
            </w:pPr>
            <w:r>
              <w:t>Management Unit</w:t>
            </w:r>
          </w:p>
        </w:tc>
        <w:tc>
          <w:tcPr>
            <w:tcW w:w="0" w:type="auto"/>
          </w:tcPr>
          <w:p w14:paraId="1C546A31" w14:textId="77777777" w:rsidR="00E511E2" w:rsidRDefault="00E511E2" w:rsidP="00153AFB">
            <w:pPr>
              <w:pStyle w:val="TableHeading"/>
            </w:pPr>
            <w:r>
              <w:t>Recommended Option</w:t>
            </w:r>
          </w:p>
        </w:tc>
        <w:tc>
          <w:tcPr>
            <w:tcW w:w="0" w:type="auto"/>
          </w:tcPr>
          <w:p w14:paraId="6D7AA9F9" w14:textId="77777777" w:rsidR="00E511E2" w:rsidRDefault="00E511E2" w:rsidP="00153AFB">
            <w:pPr>
              <w:pStyle w:val="TableHeading"/>
            </w:pPr>
            <w:r>
              <w:t>Notes</w:t>
            </w:r>
          </w:p>
        </w:tc>
      </w:tr>
      <w:tr w:rsidR="00E511E2" w14:paraId="575D6300" w14:textId="77777777" w:rsidTr="00153AFB">
        <w:tc>
          <w:tcPr>
            <w:tcW w:w="0" w:type="auto"/>
          </w:tcPr>
          <w:p w14:paraId="0BAC50D3" w14:textId="77777777" w:rsidR="00E511E2" w:rsidRDefault="00E511E2" w:rsidP="00153AFB">
            <w:pPr>
              <w:pStyle w:val="TableText"/>
            </w:pPr>
            <w:r>
              <w:t>MU1</w:t>
            </w:r>
          </w:p>
        </w:tc>
        <w:tc>
          <w:tcPr>
            <w:tcW w:w="0" w:type="auto"/>
          </w:tcPr>
          <w:p w14:paraId="6CA55384" w14:textId="77777777" w:rsidR="00E511E2" w:rsidRDefault="00E511E2" w:rsidP="00153AFB">
            <w:pPr>
              <w:pStyle w:val="TableText"/>
            </w:pPr>
            <w:r>
              <w:t>PR1 Beach Nourishment</w:t>
            </w:r>
          </w:p>
        </w:tc>
        <w:tc>
          <w:tcPr>
            <w:tcW w:w="0" w:type="auto"/>
          </w:tcPr>
          <w:p w14:paraId="1D81D6E2" w14:textId="77777777" w:rsidR="00E511E2" w:rsidRDefault="00E511E2" w:rsidP="00153AFB">
            <w:pPr>
              <w:pStyle w:val="TableBullet"/>
            </w:pPr>
            <w:r>
              <w:t>PR1 is best value for all discount rates and has a positive benefit/cost ratio for all rates.</w:t>
            </w:r>
          </w:p>
          <w:p w14:paraId="191D4D2F" w14:textId="4406D003" w:rsidR="00E511E2" w:rsidRDefault="00E511E2" w:rsidP="00153AFB">
            <w:pPr>
              <w:pStyle w:val="TableBullet"/>
            </w:pPr>
            <w:r>
              <w:t>PR3 Seawall is not recommended as it would mean the loss of the beach. Should the objectives of this MU change in the future PR3 Seawall may be suitable in the long-term.</w:t>
            </w:r>
          </w:p>
          <w:p w14:paraId="1426B694" w14:textId="77777777" w:rsidR="00E511E2" w:rsidRDefault="00E511E2" w:rsidP="00153AFB">
            <w:pPr>
              <w:pStyle w:val="TableBullet"/>
            </w:pPr>
            <w:r>
              <w:t>PR1 Beach nourishment could also later be transitioned to both PR2 Groynes or PR3 Seawall if required.</w:t>
            </w:r>
          </w:p>
          <w:p w14:paraId="2C370F94" w14:textId="77777777" w:rsidR="00E511E2" w:rsidRDefault="00E511E2" w:rsidP="00153AFB">
            <w:pPr>
              <w:pStyle w:val="TableBullet"/>
            </w:pPr>
            <w:r>
              <w:t>PMR4 Retreat by voluntary acquisition is the worst value option for all discount rates.</w:t>
            </w:r>
          </w:p>
        </w:tc>
      </w:tr>
      <w:tr w:rsidR="00E511E2" w14:paraId="6B9080BA" w14:textId="77777777" w:rsidTr="00153AFB">
        <w:tc>
          <w:tcPr>
            <w:tcW w:w="0" w:type="auto"/>
          </w:tcPr>
          <w:p w14:paraId="34ABE6B8" w14:textId="77777777" w:rsidR="00E511E2" w:rsidRDefault="00E511E2" w:rsidP="00153AFB">
            <w:pPr>
              <w:pStyle w:val="TableText"/>
            </w:pPr>
            <w:r>
              <w:t>MU2</w:t>
            </w:r>
          </w:p>
        </w:tc>
        <w:tc>
          <w:tcPr>
            <w:tcW w:w="0" w:type="auto"/>
          </w:tcPr>
          <w:p w14:paraId="41BEF404" w14:textId="77777777" w:rsidR="00E511E2" w:rsidRDefault="00E511E2" w:rsidP="00153AFB">
            <w:pPr>
              <w:pStyle w:val="TableText"/>
            </w:pPr>
            <w:r>
              <w:t>PR1 Beach Nourishment</w:t>
            </w:r>
          </w:p>
        </w:tc>
        <w:tc>
          <w:tcPr>
            <w:tcW w:w="0" w:type="auto"/>
          </w:tcPr>
          <w:p w14:paraId="55A408C1" w14:textId="77777777" w:rsidR="00E511E2" w:rsidRDefault="00E511E2" w:rsidP="00153AFB">
            <w:pPr>
              <w:pStyle w:val="TableBullet"/>
            </w:pPr>
            <w:r>
              <w:t>PR1 is best value for all discount rates and has a positive benefit/cost ratio for all rates.</w:t>
            </w:r>
          </w:p>
          <w:p w14:paraId="10F0C303" w14:textId="77777777" w:rsidR="00E511E2" w:rsidRDefault="00E511E2" w:rsidP="00153AFB">
            <w:pPr>
              <w:pStyle w:val="TableBullet"/>
            </w:pPr>
            <w:r>
              <w:t>PR3 Seawall is not recommended as it would mean the loss of the beach. Should the objectives of this MU change in the future PR3 Seawall may be suitable in the long-term.</w:t>
            </w:r>
          </w:p>
          <w:p w14:paraId="7F75F6F8" w14:textId="77777777" w:rsidR="00E511E2" w:rsidRDefault="00E511E2" w:rsidP="00153AFB">
            <w:pPr>
              <w:pStyle w:val="TableBullet"/>
            </w:pPr>
            <w:r>
              <w:t>PMR4 Retreat by Voluntary Acquisition is the worst value option for all discount rates.</w:t>
            </w:r>
          </w:p>
        </w:tc>
      </w:tr>
      <w:tr w:rsidR="00E511E2" w14:paraId="0367A541" w14:textId="77777777" w:rsidTr="00153AFB">
        <w:tc>
          <w:tcPr>
            <w:tcW w:w="0" w:type="auto"/>
          </w:tcPr>
          <w:p w14:paraId="21A74A7F" w14:textId="77777777" w:rsidR="00E511E2" w:rsidRDefault="00E511E2" w:rsidP="00153AFB">
            <w:pPr>
              <w:pStyle w:val="TableText"/>
            </w:pPr>
            <w:r>
              <w:t>MU3</w:t>
            </w:r>
          </w:p>
        </w:tc>
        <w:tc>
          <w:tcPr>
            <w:tcW w:w="0" w:type="auto"/>
          </w:tcPr>
          <w:p w14:paraId="29E1A568" w14:textId="77777777" w:rsidR="00E511E2" w:rsidRDefault="00E511E2" w:rsidP="00153AFB">
            <w:pPr>
              <w:pStyle w:val="TableText"/>
            </w:pPr>
            <w:r>
              <w:t>PR1 Beach Nourishment</w:t>
            </w:r>
          </w:p>
        </w:tc>
        <w:tc>
          <w:tcPr>
            <w:tcW w:w="0" w:type="auto"/>
          </w:tcPr>
          <w:p w14:paraId="50935442" w14:textId="77777777" w:rsidR="00E511E2" w:rsidRDefault="00E511E2" w:rsidP="00153AFB">
            <w:pPr>
              <w:pStyle w:val="TableBullet"/>
            </w:pPr>
            <w:r>
              <w:t>PR1 is best value for all discount rates and has a positive benefit/cost ratio for all rates.</w:t>
            </w:r>
          </w:p>
          <w:p w14:paraId="3F143AC6" w14:textId="77777777" w:rsidR="00E511E2" w:rsidRDefault="00E511E2" w:rsidP="00153AFB">
            <w:pPr>
              <w:pStyle w:val="TableBullet"/>
            </w:pPr>
            <w:r>
              <w:t>PR3 Seawall is not recommended as it would mean the loss of the beach. Should the objectives of this MU change in the future PR3 Seawall may be suitable in the long-term.</w:t>
            </w:r>
          </w:p>
          <w:p w14:paraId="061F8CC2" w14:textId="77777777" w:rsidR="00E511E2" w:rsidRDefault="00E511E2" w:rsidP="00153AFB">
            <w:pPr>
              <w:pStyle w:val="TableBullet"/>
            </w:pPr>
            <w:r>
              <w:t>PMR4 Retreat by Voluntary Acquisition is the worst value option for all discount rates.</w:t>
            </w:r>
          </w:p>
        </w:tc>
      </w:tr>
      <w:tr w:rsidR="00E511E2" w14:paraId="6FDD1FDE" w14:textId="77777777" w:rsidTr="00153AFB">
        <w:tc>
          <w:tcPr>
            <w:tcW w:w="0" w:type="auto"/>
          </w:tcPr>
          <w:p w14:paraId="3A3B599F" w14:textId="77777777" w:rsidR="00E511E2" w:rsidRDefault="00E511E2" w:rsidP="00153AFB">
            <w:pPr>
              <w:pStyle w:val="TableText"/>
            </w:pPr>
            <w:r>
              <w:t>MU4</w:t>
            </w:r>
          </w:p>
        </w:tc>
        <w:tc>
          <w:tcPr>
            <w:tcW w:w="0" w:type="auto"/>
          </w:tcPr>
          <w:p w14:paraId="11EA0CA5" w14:textId="77777777" w:rsidR="00E511E2" w:rsidRDefault="00E511E2" w:rsidP="00153AFB">
            <w:pPr>
              <w:pStyle w:val="TableText"/>
            </w:pPr>
            <w:r>
              <w:t>PMR4 Retreat by Voluntary Acquisition</w:t>
            </w:r>
          </w:p>
        </w:tc>
        <w:tc>
          <w:tcPr>
            <w:tcW w:w="0" w:type="auto"/>
          </w:tcPr>
          <w:p w14:paraId="5AF3CE49" w14:textId="77777777" w:rsidR="00E511E2" w:rsidRDefault="00E511E2" w:rsidP="00153AFB">
            <w:pPr>
              <w:pStyle w:val="TableBullet"/>
            </w:pPr>
            <w:r>
              <w:t>PMR4 Retreat by Voluntary Acquisition is the best value option for one discount rate (7%) and has a positive benefit/cost ratio for this rate.</w:t>
            </w:r>
          </w:p>
          <w:p w14:paraId="563DB723" w14:textId="77777777" w:rsidR="00E511E2" w:rsidRDefault="00E511E2" w:rsidP="00153AFB">
            <w:pPr>
              <w:pStyle w:val="TableBullet"/>
            </w:pPr>
            <w:r>
              <w:t>PMR4 Retreat by Voluntary Acquisition does not have a positive benefit-cost ratio for the other two rates (4% and 2%) but no other options were deemed appropriate for CBA.</w:t>
            </w:r>
          </w:p>
          <w:p w14:paraId="18A793C8" w14:textId="77777777" w:rsidR="00E511E2" w:rsidRDefault="00E511E2" w:rsidP="00153AFB">
            <w:pPr>
              <w:pStyle w:val="TableBullet"/>
            </w:pPr>
            <w:r>
              <w:t>Other non-CBA options will form part of the management approach and will be presented at the Stage 7 Implementation Report.</w:t>
            </w:r>
          </w:p>
        </w:tc>
      </w:tr>
      <w:tr w:rsidR="00E511E2" w14:paraId="7292A02F" w14:textId="77777777" w:rsidTr="00153AFB">
        <w:tc>
          <w:tcPr>
            <w:tcW w:w="0" w:type="auto"/>
          </w:tcPr>
          <w:p w14:paraId="111C7B0B" w14:textId="77777777" w:rsidR="00E511E2" w:rsidRDefault="00E511E2" w:rsidP="00153AFB">
            <w:pPr>
              <w:pStyle w:val="TableText"/>
            </w:pPr>
            <w:r>
              <w:t>MU5</w:t>
            </w:r>
          </w:p>
        </w:tc>
        <w:tc>
          <w:tcPr>
            <w:tcW w:w="0" w:type="auto"/>
          </w:tcPr>
          <w:p w14:paraId="0CA8FDFC" w14:textId="77777777" w:rsidR="00E511E2" w:rsidRDefault="00E511E2" w:rsidP="00153AFB">
            <w:pPr>
              <w:pStyle w:val="TableText"/>
            </w:pPr>
            <w:r>
              <w:t>PR1 Beach Nourishment</w:t>
            </w:r>
          </w:p>
        </w:tc>
        <w:tc>
          <w:tcPr>
            <w:tcW w:w="0" w:type="auto"/>
          </w:tcPr>
          <w:p w14:paraId="4A246DBC" w14:textId="77777777" w:rsidR="00E511E2" w:rsidRDefault="00E511E2" w:rsidP="00153AFB">
            <w:pPr>
              <w:pStyle w:val="TableBullet"/>
            </w:pPr>
            <w:r>
              <w:t>PR1 Beach Nourishment has a positive benefit-cost ratio for all rates.</w:t>
            </w:r>
          </w:p>
        </w:tc>
      </w:tr>
    </w:tbl>
    <w:p w14:paraId="7E181193" w14:textId="594E7886" w:rsidR="00E511E2" w:rsidRDefault="00E511E2" w:rsidP="00E511E2">
      <w:pPr>
        <w:pStyle w:val="TableCaption"/>
      </w:pPr>
      <w:bookmarkStart w:id="234" w:name="_Ref119268392"/>
      <w:bookmarkStart w:id="235" w:name="_Toc119774124"/>
      <w:bookmarkStart w:id="236" w:name="_Toc145512611"/>
      <w:bookmarkStart w:id="237" w:name="_Toc164411290"/>
      <w:r>
        <w:lastRenderedPageBreak/>
        <w:t>Table </w:t>
      </w:r>
      <w:r w:rsidR="008647EF">
        <w:fldChar w:fldCharType="begin"/>
      </w:r>
      <w:r w:rsidR="008647EF">
        <w:instrText xml:space="preserve"> STYLEREF 1 \s </w:instrText>
      </w:r>
      <w:r w:rsidR="008647EF">
        <w:fldChar w:fldCharType="separate"/>
      </w:r>
      <w:r w:rsidR="008647EF">
        <w:rPr>
          <w:noProof/>
        </w:rPr>
        <w:t>7</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3</w:t>
      </w:r>
      <w:r w:rsidR="008647EF">
        <w:fldChar w:fldCharType="end"/>
      </w:r>
      <w:bookmarkEnd w:id="234"/>
      <w:r>
        <w:tab/>
        <w:t>Recommended CBA options for inundation for each MU</w:t>
      </w:r>
      <w:bookmarkEnd w:id="235"/>
      <w:bookmarkEnd w:id="236"/>
      <w:bookmarkEnd w:id="237"/>
    </w:p>
    <w:tbl>
      <w:tblPr>
        <w:tblStyle w:val="BlueTable"/>
        <w:tblW w:w="0" w:type="auto"/>
        <w:tblLook w:val="0620" w:firstRow="1" w:lastRow="0" w:firstColumn="0" w:lastColumn="0" w:noHBand="1" w:noVBand="1"/>
      </w:tblPr>
      <w:tblGrid>
        <w:gridCol w:w="1626"/>
        <w:gridCol w:w="1945"/>
        <w:gridCol w:w="6057"/>
      </w:tblGrid>
      <w:tr w:rsidR="00E511E2" w14:paraId="0CA1EEDD" w14:textId="77777777" w:rsidTr="00153AFB">
        <w:trPr>
          <w:cnfStyle w:val="100000000000" w:firstRow="1" w:lastRow="0" w:firstColumn="0" w:lastColumn="0" w:oddVBand="0" w:evenVBand="0" w:oddHBand="0" w:evenHBand="0" w:firstRowFirstColumn="0" w:firstRowLastColumn="0" w:lastRowFirstColumn="0" w:lastRowLastColumn="0"/>
        </w:trPr>
        <w:tc>
          <w:tcPr>
            <w:tcW w:w="0" w:type="auto"/>
          </w:tcPr>
          <w:p w14:paraId="7C6720D2" w14:textId="77777777" w:rsidR="00E511E2" w:rsidRDefault="00E511E2" w:rsidP="00153AFB">
            <w:pPr>
              <w:pStyle w:val="TableHeading"/>
            </w:pPr>
            <w:r>
              <w:t>Management Unit</w:t>
            </w:r>
          </w:p>
        </w:tc>
        <w:tc>
          <w:tcPr>
            <w:tcW w:w="0" w:type="auto"/>
          </w:tcPr>
          <w:p w14:paraId="1B631233" w14:textId="70B4060E" w:rsidR="00E511E2" w:rsidRDefault="00E511E2" w:rsidP="00153AFB">
            <w:pPr>
              <w:pStyle w:val="TableHeading"/>
            </w:pPr>
            <w:r>
              <w:t>Recommended Option</w:t>
            </w:r>
          </w:p>
        </w:tc>
        <w:tc>
          <w:tcPr>
            <w:tcW w:w="0" w:type="auto"/>
          </w:tcPr>
          <w:p w14:paraId="42BDF662" w14:textId="77777777" w:rsidR="00E511E2" w:rsidRDefault="00E511E2" w:rsidP="00153AFB">
            <w:pPr>
              <w:pStyle w:val="TableHeading"/>
            </w:pPr>
            <w:r>
              <w:t>Notes</w:t>
            </w:r>
          </w:p>
        </w:tc>
      </w:tr>
      <w:tr w:rsidR="00E511E2" w14:paraId="7490145A" w14:textId="77777777" w:rsidTr="00153AFB">
        <w:tc>
          <w:tcPr>
            <w:tcW w:w="0" w:type="auto"/>
          </w:tcPr>
          <w:p w14:paraId="3B553EEC" w14:textId="77777777" w:rsidR="00E511E2" w:rsidRDefault="00E511E2" w:rsidP="00153AFB">
            <w:pPr>
              <w:pStyle w:val="TableText"/>
            </w:pPr>
            <w:r>
              <w:t>MU1</w:t>
            </w:r>
          </w:p>
        </w:tc>
        <w:tc>
          <w:tcPr>
            <w:tcW w:w="0" w:type="auto"/>
          </w:tcPr>
          <w:p w14:paraId="505BA4C5" w14:textId="77777777" w:rsidR="00E511E2" w:rsidRDefault="00E511E2" w:rsidP="00153AFB">
            <w:pPr>
              <w:pStyle w:val="TableText"/>
            </w:pPr>
            <w:r>
              <w:t>N/A</w:t>
            </w:r>
          </w:p>
        </w:tc>
        <w:tc>
          <w:tcPr>
            <w:tcW w:w="0" w:type="auto"/>
          </w:tcPr>
          <w:p w14:paraId="66CD0CE1" w14:textId="77777777" w:rsidR="00E511E2" w:rsidRDefault="00E511E2" w:rsidP="00153AFB">
            <w:pPr>
              <w:pStyle w:val="TableBullet"/>
            </w:pPr>
            <w:r>
              <w:t>No options were considered appropriate for CBA.</w:t>
            </w:r>
          </w:p>
          <w:p w14:paraId="6374027B" w14:textId="77777777" w:rsidR="00E511E2" w:rsidRDefault="00E511E2" w:rsidP="00153AFB">
            <w:pPr>
              <w:pStyle w:val="TableBullet"/>
            </w:pPr>
            <w:r>
              <w:t>Other non-CBA options will form part of the management approach and will be presented at the Stage 7 Implementation Report.</w:t>
            </w:r>
          </w:p>
        </w:tc>
      </w:tr>
      <w:tr w:rsidR="00E511E2" w14:paraId="083281EC" w14:textId="77777777" w:rsidTr="00153AFB">
        <w:tc>
          <w:tcPr>
            <w:tcW w:w="0" w:type="auto"/>
          </w:tcPr>
          <w:p w14:paraId="5669C192" w14:textId="77777777" w:rsidR="00E511E2" w:rsidRDefault="00E511E2" w:rsidP="00153AFB">
            <w:pPr>
              <w:pStyle w:val="TableText"/>
            </w:pPr>
            <w:r>
              <w:t>MU2</w:t>
            </w:r>
          </w:p>
        </w:tc>
        <w:tc>
          <w:tcPr>
            <w:tcW w:w="0" w:type="auto"/>
          </w:tcPr>
          <w:p w14:paraId="3233E810" w14:textId="77777777" w:rsidR="00E511E2" w:rsidRDefault="00E511E2" w:rsidP="00153AFB">
            <w:pPr>
              <w:pStyle w:val="TableText"/>
            </w:pPr>
            <w:r>
              <w:t>PR6 Levee</w:t>
            </w:r>
          </w:p>
        </w:tc>
        <w:tc>
          <w:tcPr>
            <w:tcW w:w="0" w:type="auto"/>
          </w:tcPr>
          <w:p w14:paraId="0C5A887B" w14:textId="77777777" w:rsidR="00E511E2" w:rsidRDefault="00E511E2" w:rsidP="00153AFB">
            <w:pPr>
              <w:pStyle w:val="TableBullet"/>
            </w:pPr>
            <w:r>
              <w:t>PR6 Levee has a positive benefit/cost ratio for all rates.</w:t>
            </w:r>
          </w:p>
        </w:tc>
      </w:tr>
      <w:tr w:rsidR="00E511E2" w14:paraId="7FB10E94" w14:textId="77777777" w:rsidTr="00153AFB">
        <w:tc>
          <w:tcPr>
            <w:tcW w:w="0" w:type="auto"/>
          </w:tcPr>
          <w:p w14:paraId="14AEE6CC" w14:textId="77777777" w:rsidR="00E511E2" w:rsidRDefault="00E511E2" w:rsidP="00153AFB">
            <w:pPr>
              <w:pStyle w:val="TableText"/>
            </w:pPr>
            <w:r>
              <w:t>MU3</w:t>
            </w:r>
          </w:p>
        </w:tc>
        <w:tc>
          <w:tcPr>
            <w:tcW w:w="0" w:type="auto"/>
          </w:tcPr>
          <w:p w14:paraId="14D8CC18" w14:textId="77777777" w:rsidR="00E511E2" w:rsidRDefault="00E511E2" w:rsidP="00153AFB">
            <w:pPr>
              <w:pStyle w:val="TableText"/>
            </w:pPr>
            <w:r>
              <w:t>PR6 Levee</w:t>
            </w:r>
          </w:p>
        </w:tc>
        <w:tc>
          <w:tcPr>
            <w:tcW w:w="0" w:type="auto"/>
          </w:tcPr>
          <w:p w14:paraId="5C1A8018" w14:textId="77777777" w:rsidR="00E511E2" w:rsidRDefault="00E511E2" w:rsidP="00153AFB">
            <w:pPr>
              <w:pStyle w:val="TableBullet"/>
            </w:pPr>
            <w:r>
              <w:t>PR6 Levee has a positive benefit/cost ratio for two discount rates (7% and 4%).</w:t>
            </w:r>
          </w:p>
        </w:tc>
      </w:tr>
      <w:tr w:rsidR="00E511E2" w14:paraId="41BC8273" w14:textId="77777777" w:rsidTr="00153AFB">
        <w:tc>
          <w:tcPr>
            <w:tcW w:w="0" w:type="auto"/>
          </w:tcPr>
          <w:p w14:paraId="46893941" w14:textId="77777777" w:rsidR="00E511E2" w:rsidRDefault="00E511E2" w:rsidP="00153AFB">
            <w:pPr>
              <w:pStyle w:val="TableText"/>
            </w:pPr>
            <w:r>
              <w:t>MU4</w:t>
            </w:r>
          </w:p>
        </w:tc>
        <w:tc>
          <w:tcPr>
            <w:tcW w:w="0" w:type="auto"/>
          </w:tcPr>
          <w:p w14:paraId="19664543" w14:textId="77777777" w:rsidR="00E511E2" w:rsidRDefault="00E511E2" w:rsidP="00153AFB">
            <w:pPr>
              <w:pStyle w:val="TableText"/>
            </w:pPr>
            <w:r>
              <w:t>PR6 Levee</w:t>
            </w:r>
          </w:p>
        </w:tc>
        <w:tc>
          <w:tcPr>
            <w:tcW w:w="0" w:type="auto"/>
          </w:tcPr>
          <w:p w14:paraId="037BDC3B" w14:textId="77777777" w:rsidR="00E511E2" w:rsidRDefault="00E511E2" w:rsidP="00153AFB">
            <w:pPr>
              <w:pStyle w:val="TableBullet"/>
            </w:pPr>
            <w:r>
              <w:t>PR6 Levee has a positive benefit/cost ratio for all rates.</w:t>
            </w:r>
          </w:p>
        </w:tc>
      </w:tr>
      <w:tr w:rsidR="00E511E2" w14:paraId="456D909E" w14:textId="77777777" w:rsidTr="00153AFB">
        <w:tc>
          <w:tcPr>
            <w:tcW w:w="0" w:type="auto"/>
          </w:tcPr>
          <w:p w14:paraId="77E54666" w14:textId="77777777" w:rsidR="00E511E2" w:rsidRDefault="00E511E2" w:rsidP="00153AFB">
            <w:pPr>
              <w:pStyle w:val="TableText"/>
            </w:pPr>
            <w:r>
              <w:t>MU5</w:t>
            </w:r>
          </w:p>
        </w:tc>
        <w:tc>
          <w:tcPr>
            <w:tcW w:w="0" w:type="auto"/>
          </w:tcPr>
          <w:p w14:paraId="31CAA1FB" w14:textId="77777777" w:rsidR="00E511E2" w:rsidRDefault="00E511E2" w:rsidP="00153AFB">
            <w:pPr>
              <w:pStyle w:val="TableText"/>
            </w:pPr>
            <w:r>
              <w:t>PR6 Levee</w:t>
            </w:r>
          </w:p>
        </w:tc>
        <w:tc>
          <w:tcPr>
            <w:tcW w:w="0" w:type="auto"/>
          </w:tcPr>
          <w:p w14:paraId="45B4D574" w14:textId="77777777" w:rsidR="00E511E2" w:rsidRDefault="00E511E2" w:rsidP="00153AFB">
            <w:pPr>
              <w:pStyle w:val="TableBullet"/>
            </w:pPr>
            <w:r>
              <w:t>PR6 Levee has a positive benefit/cost ratio for all rates.</w:t>
            </w:r>
          </w:p>
        </w:tc>
      </w:tr>
      <w:bookmarkEnd w:id="69"/>
      <w:bookmarkEnd w:id="70"/>
      <w:bookmarkEnd w:id="71"/>
      <w:bookmarkEnd w:id="72"/>
      <w:bookmarkEnd w:id="73"/>
      <w:bookmarkEnd w:id="74"/>
      <w:bookmarkEnd w:id="75"/>
    </w:tbl>
    <w:p w14:paraId="768AEBB4" w14:textId="77777777" w:rsidR="001500B6" w:rsidRPr="00792B38" w:rsidRDefault="001500B6" w:rsidP="001500B6">
      <w:pPr>
        <w:pStyle w:val="BodyText"/>
      </w:pPr>
    </w:p>
    <w:p w14:paraId="5BA50DE6" w14:textId="64DE0B7D" w:rsidR="00395C8E" w:rsidRDefault="00395C8E" w:rsidP="006A30A3">
      <w:pPr>
        <w:pStyle w:val="Heading1"/>
      </w:pPr>
      <w:bookmarkStart w:id="238" w:name="_Ref164172820"/>
      <w:bookmarkStart w:id="239" w:name="_Ref164172864"/>
      <w:bookmarkStart w:id="240" w:name="_Ref164172903"/>
      <w:bookmarkStart w:id="241" w:name="_Ref164172913"/>
      <w:bookmarkStart w:id="242" w:name="_Ref164174566"/>
      <w:bookmarkStart w:id="243" w:name="_Ref164175301"/>
      <w:bookmarkStart w:id="244" w:name="_Toc164420893"/>
      <w:r>
        <w:lastRenderedPageBreak/>
        <w:t>Implementation</w:t>
      </w:r>
      <w:bookmarkEnd w:id="238"/>
      <w:bookmarkEnd w:id="239"/>
      <w:bookmarkEnd w:id="240"/>
      <w:bookmarkEnd w:id="241"/>
      <w:bookmarkEnd w:id="242"/>
      <w:bookmarkEnd w:id="243"/>
      <w:bookmarkEnd w:id="244"/>
    </w:p>
    <w:p w14:paraId="673793B7" w14:textId="473AA6E4" w:rsidR="002535D8" w:rsidRPr="002535D8" w:rsidRDefault="002535D8" w:rsidP="002535D8">
      <w:pPr>
        <w:pStyle w:val="BodyText"/>
      </w:pPr>
      <w:r>
        <w:t>An</w:t>
      </w:r>
      <w:r w:rsidRPr="00CC0F64">
        <w:t xml:space="preserve"> </w:t>
      </w:r>
      <w:r>
        <w:t>Implementation</w:t>
      </w:r>
      <w:r w:rsidR="00567685">
        <w:t xml:space="preserve"> and Monitoring</w:t>
      </w:r>
      <w:r>
        <w:t xml:space="preserve"> Chapter </w:t>
      </w:r>
      <w:r w:rsidRPr="00CC0F64">
        <w:t>Report</w:t>
      </w:r>
      <w:r>
        <w:t xml:space="preserve"> </w:t>
      </w:r>
      <w:r w:rsidRPr="00580FE3">
        <w:t>(</w:t>
      </w:r>
      <w:r>
        <w:fldChar w:fldCharType="begin"/>
      </w:r>
      <w:r>
        <w:instrText xml:space="preserve"> REF _Ref164241740 \n \h </w:instrText>
      </w:r>
      <w:r>
        <w:fldChar w:fldCharType="separate"/>
      </w:r>
      <w:r>
        <w:t>Appendix G</w:t>
      </w:r>
      <w:r>
        <w:fldChar w:fldCharType="end"/>
      </w:r>
      <w:r w:rsidRPr="00580FE3">
        <w:t>)</w:t>
      </w:r>
      <w:r>
        <w:t xml:space="preserve"> was prepared to present recommended actions to progress coastal hazard adaptation planning for PRH</w:t>
      </w:r>
      <w:r w:rsidRPr="00CC0F64">
        <w:t>.</w:t>
      </w:r>
      <w:r>
        <w:t xml:space="preserve"> A summary is provided below.</w:t>
      </w:r>
    </w:p>
    <w:p w14:paraId="12D51CDA" w14:textId="1315538A" w:rsidR="00395C8E" w:rsidRDefault="00A435F7" w:rsidP="00FD05F6">
      <w:pPr>
        <w:pStyle w:val="Heading2"/>
      </w:pPr>
      <w:bookmarkStart w:id="245" w:name="_Toc164420894"/>
      <w:r>
        <w:t>Implementation Strategy</w:t>
      </w:r>
      <w:bookmarkEnd w:id="245"/>
    </w:p>
    <w:p w14:paraId="11B1DACF" w14:textId="0F81A099" w:rsidR="00594B04" w:rsidRDefault="00594B04" w:rsidP="00594B04">
      <w:pPr>
        <w:pStyle w:val="BodyText"/>
      </w:pPr>
      <w:r>
        <w:t xml:space="preserve">It is recommended the City employ a staged implementation strategy to incorporate the CHRMAP’s strategic recommendations into its operations as outlined in </w:t>
      </w:r>
      <w:r>
        <w:fldChar w:fldCharType="begin"/>
      </w:r>
      <w:r>
        <w:instrText xml:space="preserve"> REF _Ref161753453 \h </w:instrText>
      </w:r>
      <w:r>
        <w:fldChar w:fldCharType="separate"/>
      </w:r>
      <w:r>
        <w:t>Table </w:t>
      </w:r>
      <w:r>
        <w:rPr>
          <w:noProof/>
        </w:rPr>
        <w:t>8</w:t>
      </w:r>
      <w:r>
        <w:noBreakHyphen/>
      </w:r>
      <w:r>
        <w:rPr>
          <w:noProof/>
        </w:rPr>
        <w:t>1</w:t>
      </w:r>
      <w:r>
        <w:fldChar w:fldCharType="end"/>
      </w:r>
      <w:r>
        <w:t>.</w:t>
      </w:r>
    </w:p>
    <w:p w14:paraId="6F23E07B" w14:textId="6714E32E" w:rsidR="00594B04" w:rsidRDefault="00594B04" w:rsidP="00594B04">
      <w:pPr>
        <w:pStyle w:val="TableCaption"/>
      </w:pPr>
      <w:bookmarkStart w:id="246" w:name="_Ref161753453"/>
      <w:bookmarkStart w:id="247" w:name="_Toc164411291"/>
      <w:r>
        <w:t>Table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1</w:t>
      </w:r>
      <w:r w:rsidR="008647EF">
        <w:fldChar w:fldCharType="end"/>
      </w:r>
      <w:bookmarkEnd w:id="246"/>
      <w:r>
        <w:tab/>
        <w:t>CHRMAP implementation strategy.</w:t>
      </w:r>
      <w:bookmarkEnd w:id="247"/>
    </w:p>
    <w:tbl>
      <w:tblPr>
        <w:tblStyle w:val="BlueTable"/>
        <w:tblW w:w="0" w:type="auto"/>
        <w:tblLayout w:type="fixed"/>
        <w:tblLook w:val="0620" w:firstRow="1" w:lastRow="0" w:firstColumn="0" w:lastColumn="0" w:noHBand="1" w:noVBand="1"/>
      </w:tblPr>
      <w:tblGrid>
        <w:gridCol w:w="1742"/>
        <w:gridCol w:w="5919"/>
        <w:gridCol w:w="1967"/>
      </w:tblGrid>
      <w:tr w:rsidR="00594B04" w14:paraId="0B4CEAB0" w14:textId="77777777" w:rsidTr="001355DB">
        <w:trPr>
          <w:cnfStyle w:val="100000000000" w:firstRow="1" w:lastRow="0" w:firstColumn="0" w:lastColumn="0" w:oddVBand="0" w:evenVBand="0" w:oddHBand="0" w:evenHBand="0" w:firstRowFirstColumn="0" w:firstRowLastColumn="0" w:lastRowFirstColumn="0" w:lastRowLastColumn="0"/>
        </w:trPr>
        <w:tc>
          <w:tcPr>
            <w:tcW w:w="1742" w:type="dxa"/>
          </w:tcPr>
          <w:p w14:paraId="4E67D21B" w14:textId="77777777" w:rsidR="00594B04" w:rsidRDefault="00594B04" w:rsidP="001355DB">
            <w:pPr>
              <w:pStyle w:val="TableHeading"/>
            </w:pPr>
            <w:r>
              <w:t>Milestone</w:t>
            </w:r>
          </w:p>
        </w:tc>
        <w:tc>
          <w:tcPr>
            <w:tcW w:w="5919" w:type="dxa"/>
          </w:tcPr>
          <w:p w14:paraId="7FF446B9" w14:textId="77777777" w:rsidR="00594B04" w:rsidRDefault="00594B04" w:rsidP="001355DB">
            <w:pPr>
              <w:pStyle w:val="TableHeading"/>
            </w:pPr>
            <w:r>
              <w:t>Adaptation Actions</w:t>
            </w:r>
          </w:p>
        </w:tc>
        <w:tc>
          <w:tcPr>
            <w:tcW w:w="1967" w:type="dxa"/>
          </w:tcPr>
          <w:p w14:paraId="594A1D25" w14:textId="77777777" w:rsidR="00594B04" w:rsidRDefault="00594B04" w:rsidP="001355DB">
            <w:pPr>
              <w:pStyle w:val="TableHeading"/>
            </w:pPr>
            <w:r>
              <w:t>Adaptation Hierarchy</w:t>
            </w:r>
          </w:p>
        </w:tc>
      </w:tr>
      <w:tr w:rsidR="00594B04" w14:paraId="3CD96DC5" w14:textId="77777777" w:rsidTr="001355DB">
        <w:tc>
          <w:tcPr>
            <w:tcW w:w="1742" w:type="dxa"/>
          </w:tcPr>
          <w:p w14:paraId="20D4180A" w14:textId="77777777" w:rsidR="00594B04" w:rsidRDefault="00594B04" w:rsidP="001355DB">
            <w:pPr>
              <w:pStyle w:val="TableText"/>
            </w:pPr>
            <w:r>
              <w:t>Present</w:t>
            </w:r>
          </w:p>
        </w:tc>
        <w:tc>
          <w:tcPr>
            <w:tcW w:w="5919" w:type="dxa"/>
          </w:tcPr>
          <w:p w14:paraId="03AAF0A8" w14:textId="77777777" w:rsidR="00594B04" w:rsidRDefault="00594B04" w:rsidP="001355DB">
            <w:pPr>
              <w:pStyle w:val="TableText"/>
            </w:pPr>
            <w:r>
              <w:t>Continue to accommodate development under the current planning framework with conditions requiring removal or relocation of the development once the Horizontal Shoreline Datum (HSD) is within 40m of the most seaward point of the development, in accordance with the CHRMAP Guidelines.</w:t>
            </w:r>
          </w:p>
        </w:tc>
        <w:tc>
          <w:tcPr>
            <w:tcW w:w="1967" w:type="dxa"/>
          </w:tcPr>
          <w:p w14:paraId="4FDF1946" w14:textId="77777777" w:rsidR="00594B04" w:rsidRDefault="00594B04" w:rsidP="001355DB">
            <w:pPr>
              <w:pStyle w:val="TableText"/>
            </w:pPr>
            <w:r>
              <w:t>Planned/ Managed Retreat; Accommodate</w:t>
            </w:r>
          </w:p>
        </w:tc>
      </w:tr>
      <w:tr w:rsidR="00594B04" w14:paraId="70192947" w14:textId="77777777" w:rsidTr="001355DB">
        <w:tc>
          <w:tcPr>
            <w:tcW w:w="1742" w:type="dxa"/>
          </w:tcPr>
          <w:p w14:paraId="7C54E226" w14:textId="77777777" w:rsidR="00594B04" w:rsidRDefault="00594B04" w:rsidP="001355DB">
            <w:pPr>
              <w:pStyle w:val="TableText"/>
            </w:pPr>
            <w:r>
              <w:t>CHRMAP Endorsement</w:t>
            </w:r>
          </w:p>
        </w:tc>
        <w:tc>
          <w:tcPr>
            <w:tcW w:w="5919" w:type="dxa"/>
          </w:tcPr>
          <w:p w14:paraId="5F74C5DC" w14:textId="77777777" w:rsidR="00594B04" w:rsidRDefault="00594B04" w:rsidP="001355DB">
            <w:pPr>
              <w:pStyle w:val="TableText"/>
            </w:pPr>
            <w:r>
              <w:t xml:space="preserve">Continue to accommodate development under the current planning framework with conditions requiring removal or relocation of the development once the </w:t>
            </w:r>
            <w:r w:rsidRPr="1875F9F2">
              <w:rPr>
                <w:rStyle w:val="Emphasis"/>
                <w:b w:val="0"/>
                <w:color w:val="auto"/>
              </w:rPr>
              <w:t>HSD is within the</w:t>
            </w:r>
            <w:r>
              <w:rPr>
                <w:rStyle w:val="Emphasis"/>
                <w:b w:val="0"/>
                <w:color w:val="auto"/>
              </w:rPr>
              <w:t xml:space="preserve"> S1 distance</w:t>
            </w:r>
            <w:r w:rsidRPr="72E34377">
              <w:rPr>
                <w:rStyle w:val="Emphasis"/>
                <w:b w:val="0"/>
                <w:color w:val="auto"/>
              </w:rPr>
              <w:t xml:space="preserve"> </w:t>
            </w:r>
            <w:r w:rsidRPr="1875F9F2">
              <w:rPr>
                <w:rStyle w:val="Emphasis"/>
                <w:b w:val="0"/>
                <w:color w:val="auto"/>
              </w:rPr>
              <w:t>of the most seaward point</w:t>
            </w:r>
            <w:r>
              <w:t xml:space="preserve"> of the development. The City shall update the online mapping tool to include the relevant data from the CHRMAP, including the HSD and S1 values for locations subject to erosion.</w:t>
            </w:r>
          </w:p>
        </w:tc>
        <w:tc>
          <w:tcPr>
            <w:tcW w:w="1967" w:type="dxa"/>
          </w:tcPr>
          <w:p w14:paraId="1DD78515" w14:textId="77777777" w:rsidR="00594B04" w:rsidRDefault="00594B04" w:rsidP="001355DB">
            <w:pPr>
              <w:pStyle w:val="TableText"/>
            </w:pPr>
            <w:r>
              <w:t xml:space="preserve">Planned/ Managed Retreat; Accommodate </w:t>
            </w:r>
          </w:p>
        </w:tc>
      </w:tr>
      <w:tr w:rsidR="00594B04" w14:paraId="00E1C7A8" w14:textId="77777777" w:rsidTr="001355DB">
        <w:tc>
          <w:tcPr>
            <w:tcW w:w="1742" w:type="dxa"/>
          </w:tcPr>
          <w:p w14:paraId="105180E8" w14:textId="77777777" w:rsidR="00594B04" w:rsidRDefault="00594B04" w:rsidP="001355DB">
            <w:pPr>
              <w:pStyle w:val="TableText"/>
            </w:pPr>
            <w:r>
              <w:t>Scheme Amendment / LPP Endorsement</w:t>
            </w:r>
          </w:p>
        </w:tc>
        <w:tc>
          <w:tcPr>
            <w:tcW w:w="5919" w:type="dxa"/>
          </w:tcPr>
          <w:p w14:paraId="21CAFE5A" w14:textId="77777777" w:rsidR="00594B04" w:rsidRDefault="00594B04" w:rsidP="001355DB">
            <w:pPr>
              <w:pStyle w:val="BodyText"/>
            </w:pPr>
            <w:r>
              <w:t>Assess development against the amended planning framework which supports the adaptation hierarchy under the CHRMAP Guidelines, specifically:</w:t>
            </w:r>
          </w:p>
          <w:p w14:paraId="038C93C6" w14:textId="77777777" w:rsidR="00594B04" w:rsidRDefault="00594B04" w:rsidP="00FF5CBF">
            <w:pPr>
              <w:pStyle w:val="BodyText"/>
              <w:numPr>
                <w:ilvl w:val="0"/>
                <w:numId w:val="23"/>
              </w:numPr>
            </w:pPr>
            <w:r>
              <w:t>Prohibit subdivision or rezoning of land which has been identified as being subject to erosion over the 100-year planning timeframe;</w:t>
            </w:r>
          </w:p>
          <w:p w14:paraId="430DB493" w14:textId="77777777" w:rsidR="00594B04" w:rsidRDefault="00594B04" w:rsidP="00FF5CBF">
            <w:pPr>
              <w:pStyle w:val="BodyText"/>
              <w:numPr>
                <w:ilvl w:val="0"/>
                <w:numId w:val="23"/>
              </w:numPr>
              <w:rPr>
                <w:rStyle w:val="Emphasis"/>
                <w:b w:val="0"/>
                <w:color w:val="auto"/>
              </w:rPr>
            </w:pPr>
            <w:r>
              <w:t>Prohibit development within the S1 distance</w:t>
            </w:r>
            <w:r>
              <w:rPr>
                <w:rStyle w:val="Emphasis"/>
                <w:b w:val="0"/>
                <w:color w:val="auto"/>
              </w:rPr>
              <w:t xml:space="preserve"> of the HSD;</w:t>
            </w:r>
          </w:p>
          <w:p w14:paraId="7FD5343B" w14:textId="20F0D620" w:rsidR="00594B04" w:rsidRDefault="00594B04" w:rsidP="00FF5CBF">
            <w:pPr>
              <w:pStyle w:val="BodyText"/>
              <w:numPr>
                <w:ilvl w:val="0"/>
                <w:numId w:val="23"/>
              </w:numPr>
              <w:rPr>
                <w:rStyle w:val="Emphasis"/>
                <w:b w:val="0"/>
                <w:color w:val="auto"/>
              </w:rPr>
            </w:pPr>
            <w:r>
              <w:t>Accommodate development not identified as being impacted by erosion in the short-term (S1) with conditions for the managed retreat of the</w:t>
            </w:r>
            <w:r>
              <w:rPr>
                <w:rStyle w:val="Emphasis"/>
                <w:b w:val="0"/>
                <w:color w:val="auto"/>
              </w:rPr>
              <w:t xml:space="preserve"> development </w:t>
            </w:r>
            <w:r>
              <w:t xml:space="preserve">once </w:t>
            </w:r>
            <w:r w:rsidRPr="1875F9F2">
              <w:rPr>
                <w:rStyle w:val="Emphasis"/>
                <w:b w:val="0"/>
                <w:color w:val="auto"/>
              </w:rPr>
              <w:t>the most seaward point</w:t>
            </w:r>
            <w:r>
              <w:t xml:space="preserve"> of the development is within the short-term erosion zone (HSD plus S1 erosion</w:t>
            </w:r>
            <w:r w:rsidR="001E6399">
              <w:t>).</w:t>
            </w:r>
          </w:p>
          <w:p w14:paraId="3141AA8E" w14:textId="77777777" w:rsidR="00594B04" w:rsidRDefault="00594B04" w:rsidP="001355DB">
            <w:pPr>
              <w:pStyle w:val="TableText"/>
            </w:pPr>
            <w:r>
              <w:t>Accommodate development prone to inundation provided certain design requirements can be achieved, in accordance with the PRL Coastal Hazard Local Planning Policy.</w:t>
            </w:r>
          </w:p>
        </w:tc>
        <w:tc>
          <w:tcPr>
            <w:tcW w:w="1967" w:type="dxa"/>
          </w:tcPr>
          <w:p w14:paraId="3F38CB73" w14:textId="77777777" w:rsidR="00594B04" w:rsidRDefault="00594B04" w:rsidP="001355DB">
            <w:pPr>
              <w:pStyle w:val="TableText"/>
            </w:pPr>
            <w:r>
              <w:t>Avoid; Planned/ Managed Retreat; Accommodate</w:t>
            </w:r>
          </w:p>
        </w:tc>
      </w:tr>
      <w:tr w:rsidR="00594B04" w14:paraId="6F079703" w14:textId="77777777" w:rsidTr="001355DB">
        <w:tc>
          <w:tcPr>
            <w:tcW w:w="1742" w:type="dxa"/>
          </w:tcPr>
          <w:p w14:paraId="70B53971" w14:textId="77777777" w:rsidR="00594B04" w:rsidRDefault="00594B04" w:rsidP="001355DB">
            <w:pPr>
              <w:pStyle w:val="TableText"/>
            </w:pPr>
            <w:r>
              <w:t>Protection Measures Constructed</w:t>
            </w:r>
          </w:p>
        </w:tc>
        <w:tc>
          <w:tcPr>
            <w:tcW w:w="5919" w:type="dxa"/>
          </w:tcPr>
          <w:p w14:paraId="736993D8" w14:textId="77777777" w:rsidR="00594B04" w:rsidRDefault="00594B04" w:rsidP="001355DB">
            <w:pPr>
              <w:pStyle w:val="TableText"/>
            </w:pPr>
            <w:r>
              <w:t xml:space="preserve">Accommodate subdivision / development where protection measures have been undertaken in accordance with the CHRMAP and/or any other relevant assessment endorsed by a suitably qualified coastal engineer. </w:t>
            </w:r>
          </w:p>
        </w:tc>
        <w:tc>
          <w:tcPr>
            <w:tcW w:w="1967" w:type="dxa"/>
          </w:tcPr>
          <w:p w14:paraId="3459AB26" w14:textId="77777777" w:rsidR="00594B04" w:rsidRDefault="00594B04" w:rsidP="001355DB">
            <w:pPr>
              <w:pStyle w:val="TableText"/>
            </w:pPr>
            <w:r>
              <w:t>Accommodate; Protect</w:t>
            </w:r>
          </w:p>
        </w:tc>
      </w:tr>
    </w:tbl>
    <w:p w14:paraId="14673B0D" w14:textId="39B49136" w:rsidR="00A435F7" w:rsidRDefault="00A435F7" w:rsidP="00FD05F6">
      <w:pPr>
        <w:pStyle w:val="Heading2"/>
      </w:pPr>
      <w:bookmarkStart w:id="248" w:name="_Toc164420895"/>
      <w:r>
        <w:lastRenderedPageBreak/>
        <w:t>Land Use Planning</w:t>
      </w:r>
      <w:bookmarkEnd w:id="248"/>
    </w:p>
    <w:p w14:paraId="0612F3E2" w14:textId="77777777" w:rsidR="00594B04" w:rsidRDefault="00594B04" w:rsidP="00594B04">
      <w:pPr>
        <w:pStyle w:val="BodyText"/>
      </w:pPr>
      <w:r>
        <w:t>There is a direct relationship between coastal hazard exposure and development. The way that buildings and assets are designed and located determines their exposure, ultimately impacting risk to people and property.</w:t>
      </w:r>
    </w:p>
    <w:p w14:paraId="2022D7FB" w14:textId="77777777" w:rsidR="00594B04" w:rsidRPr="00C20E6F" w:rsidRDefault="00594B04" w:rsidP="00594B04">
      <w:pPr>
        <w:pStyle w:val="Quote"/>
        <w:rPr>
          <w:color w:val="auto"/>
        </w:rPr>
      </w:pPr>
      <w:r w:rsidRPr="00C20E6F">
        <w:rPr>
          <w:color w:val="auto"/>
        </w:rPr>
        <w:t xml:space="preserve">Land use planning has an important role to play in increasing the resilience of coastal areas to sea level rise, storm-tide inundation, and erosion, as they govern how coastal areas are developed and managed. </w:t>
      </w:r>
    </w:p>
    <w:p w14:paraId="6B53B9FC" w14:textId="73C47878" w:rsidR="00594B04" w:rsidRPr="00594B04" w:rsidRDefault="00594B04" w:rsidP="00594B04">
      <w:pPr>
        <w:pStyle w:val="BodyText"/>
      </w:pPr>
      <w:r>
        <w:t>Therefore, development planning controls are an important tool to use in reducing risk exposure.</w:t>
      </w:r>
    </w:p>
    <w:p w14:paraId="3A310D93" w14:textId="77777777" w:rsidR="00FD05F6" w:rsidRDefault="00FD05F6" w:rsidP="00FD05F6">
      <w:pPr>
        <w:pStyle w:val="Heading3"/>
      </w:pPr>
      <w:bookmarkStart w:id="249" w:name="_Toc162518690"/>
      <w:bookmarkStart w:id="250" w:name="_Toc164420896"/>
      <w:r>
        <w:t>Statutory Planning Mechanisms</w:t>
      </w:r>
      <w:bookmarkEnd w:id="249"/>
      <w:bookmarkEnd w:id="250"/>
    </w:p>
    <w:p w14:paraId="313D5DC5" w14:textId="6CE26413" w:rsidR="00594B04" w:rsidRDefault="00594B04" w:rsidP="00594B04">
      <w:pPr>
        <w:pStyle w:val="BodyText"/>
      </w:pPr>
      <w:r>
        <w:t>Review of the existing planning controls concluded that a local planning scheme amendment to introduce a Special Control Area (SCA) was considered the most appropriate statutory planning mechanism to address coastal hazards within the PRH. The following section provides a summary of recommendations for the City to update its current planning framework to effectively manage the coastal erosion and inundation risks identified in the CHRMAP.</w:t>
      </w:r>
    </w:p>
    <w:p w14:paraId="1A431108" w14:textId="77777777" w:rsidR="00594B04" w:rsidRDefault="00594B04" w:rsidP="00594B04">
      <w:pPr>
        <w:pStyle w:val="BodyText"/>
      </w:pPr>
      <w:r>
        <w:t xml:space="preserve">The planning mechanisms have been recommended in accordance with the CHRMAP Guidelines, specifically Appendix 4 – Planned or managed retreat – existing planning framework and instruments which provides guidance on planning risk treatment options across the risk management and adaptation hierarchy. </w:t>
      </w:r>
    </w:p>
    <w:p w14:paraId="03CB16DB" w14:textId="77777777" w:rsidR="00FD05F6" w:rsidRDefault="00FD05F6" w:rsidP="00FD05F6">
      <w:pPr>
        <w:pStyle w:val="Heading4"/>
      </w:pPr>
      <w:bookmarkStart w:id="251" w:name="_Toc162518691"/>
      <w:r>
        <w:t>Avoid</w:t>
      </w:r>
      <w:bookmarkEnd w:id="251"/>
    </w:p>
    <w:p w14:paraId="750DCDC7" w14:textId="77777777" w:rsidR="00594B04" w:rsidRDefault="00594B04" w:rsidP="00594B04">
      <w:pPr>
        <w:pStyle w:val="BodyText"/>
      </w:pPr>
      <w:r>
        <w:t xml:space="preserve">The best form of risk management is to eliminate hazards, activities and exposures that can adversely affect an asset. Accordingly, the primary planning response shall be to avoid further intensification of development through rezoning or subdivision. </w:t>
      </w:r>
    </w:p>
    <w:p w14:paraId="2D9C48B9" w14:textId="77777777" w:rsidR="00594B04" w:rsidRPr="00995C0E" w:rsidRDefault="00594B04" w:rsidP="00594B04">
      <w:pPr>
        <w:pStyle w:val="BodyText"/>
      </w:pPr>
      <w:r>
        <w:t xml:space="preserve">It is acknowledged that it may not be practically possible to completely avoid development on private land that has already been appropriately zoned under LPS 2. In these instances, alternative adaptation options will need to be considered. </w:t>
      </w:r>
    </w:p>
    <w:p w14:paraId="1E3BE5D0" w14:textId="77777777" w:rsidR="00FD05F6" w:rsidRDefault="00FD05F6" w:rsidP="00FD05F6">
      <w:pPr>
        <w:pStyle w:val="Heading4"/>
      </w:pPr>
      <w:bookmarkStart w:id="252" w:name="_Toc162518692"/>
      <w:r>
        <w:t>Planned/Managed Retreat</w:t>
      </w:r>
      <w:bookmarkEnd w:id="252"/>
    </w:p>
    <w:p w14:paraId="463A1DD8" w14:textId="77777777" w:rsidR="00594B04" w:rsidRDefault="00594B04" w:rsidP="00594B04">
      <w:pPr>
        <w:pStyle w:val="BodyText"/>
      </w:pPr>
      <w:r w:rsidRPr="001F7277">
        <w:t xml:space="preserve">The </w:t>
      </w:r>
      <w:r w:rsidRPr="009E0A7B">
        <w:t>CHRMAP</w:t>
      </w:r>
      <w:r w:rsidRPr="001F7277">
        <w:t xml:space="preserve"> Guidelines provide guidance on how to effectively implement a policy of planned or managed retreat for locations that have been identified as being vulnerable to coastal processes through the CHRMAP. Appendix 4 of the CHRMAP Guidelines recommend the introduction of mechanisms to reduce or prevent the ongoing use of</w:t>
      </w:r>
      <w:r>
        <w:t xml:space="preserve"> private land at risk of coastal hazards. The first step involves changing the local planning framework to enable the mechanisms for planned or managed retreat to be applied. The second step, once it has been determined that private use of the land should cease, contemplates the transfer of affected land from private to public ownership.</w:t>
      </w:r>
    </w:p>
    <w:p w14:paraId="3E97CE6C" w14:textId="715B2770" w:rsidR="00594B04" w:rsidRDefault="00594B04" w:rsidP="00594B04">
      <w:pPr>
        <w:pStyle w:val="BodyText"/>
      </w:pPr>
      <w:r>
        <w:t xml:space="preserve">The </w:t>
      </w:r>
      <w:r w:rsidRPr="00C527FD">
        <w:t xml:space="preserve">recommended SCA </w:t>
      </w:r>
      <w:r w:rsidRPr="009C5D74">
        <w:t>provisions in</w:t>
      </w:r>
      <w:r w:rsidR="009C5D74">
        <w:t xml:space="preserve"> </w:t>
      </w:r>
      <w:r w:rsidR="00054F42">
        <w:fldChar w:fldCharType="begin"/>
      </w:r>
      <w:r w:rsidR="00054F42">
        <w:instrText xml:space="preserve"> REF _Ref155707522 \h </w:instrText>
      </w:r>
      <w:r w:rsidR="00054F42">
        <w:fldChar w:fldCharType="separate"/>
      </w:r>
      <w:r w:rsidR="00054F42">
        <w:t>Table </w:t>
      </w:r>
      <w:r w:rsidR="00054F42">
        <w:rPr>
          <w:noProof/>
        </w:rPr>
        <w:t>8</w:t>
      </w:r>
      <w:r w:rsidR="00054F42">
        <w:noBreakHyphen/>
      </w:r>
      <w:r w:rsidR="00054F42">
        <w:rPr>
          <w:noProof/>
        </w:rPr>
        <w:t>3</w:t>
      </w:r>
      <w:r w:rsidR="00054F42">
        <w:fldChar w:fldCharType="end"/>
      </w:r>
      <w:r w:rsidR="0094168C" w:rsidRPr="009C5D74">
        <w:t xml:space="preserve"> </w:t>
      </w:r>
      <w:r w:rsidRPr="009C5D74">
        <w:t>will</w:t>
      </w:r>
      <w:r>
        <w:t xml:space="preserve"> enable the City to implement a policy of planned or managed retreat once it has been determined that the private use of the land should cease through certain trigger events. T</w:t>
      </w:r>
      <w:r w:rsidRPr="001D7DCB">
        <w:t xml:space="preserve">he City should aim to </w:t>
      </w:r>
      <w:r>
        <w:t xml:space="preserve">complete the necessary amendments to the local planning framework </w:t>
      </w:r>
      <w:r w:rsidRPr="001D7DCB">
        <w:t>by 203</w:t>
      </w:r>
      <w:r>
        <w:t>7 which provides a 10-year period before at-risk assets are predicted to be impacted by 2047. This is deemed an appropriate period for the City and landowners to reach an agreement on an appropriate solution to either accommodate the private asset through design criteria, relocate or remove the private asset or where no alternatives exist, transfer the land from private to public ownership.</w:t>
      </w:r>
    </w:p>
    <w:p w14:paraId="5D1B7A53" w14:textId="77777777" w:rsidR="00594B04" w:rsidRDefault="00594B04" w:rsidP="00594B04">
      <w:pPr>
        <w:pStyle w:val="BodyText"/>
      </w:pPr>
      <w:r>
        <w:lastRenderedPageBreak/>
        <w:t xml:space="preserve">The CHRMAP </w:t>
      </w:r>
      <w:r w:rsidRPr="001F7277">
        <w:t>Guidelines provides</w:t>
      </w:r>
      <w:r>
        <w:t xml:space="preserve"> a framework for triggering the voluntary or compulsory acquisition of private land affected by coastal processes where the public foreshore can no longer provide a natural barrier or where physical protection measures are not possible due to environmental, economic or social constraints. The options to acquire private land include:</w:t>
      </w:r>
    </w:p>
    <w:p w14:paraId="0230B58C" w14:textId="77777777" w:rsidR="00594B04" w:rsidRDefault="00594B04" w:rsidP="00A97817">
      <w:pPr>
        <w:pStyle w:val="ListBullet0"/>
        <w:numPr>
          <w:ilvl w:val="0"/>
          <w:numId w:val="60"/>
        </w:numPr>
      </w:pPr>
      <w:r>
        <w:t>Land reserved under LPS 2:</w:t>
      </w:r>
    </w:p>
    <w:p w14:paraId="21B164D9" w14:textId="77777777" w:rsidR="00594B04" w:rsidRPr="003A79F4" w:rsidRDefault="00594B04" w:rsidP="00FF5CBF">
      <w:pPr>
        <w:pStyle w:val="ListBullet0"/>
        <w:numPr>
          <w:ilvl w:val="1"/>
          <w:numId w:val="42"/>
        </w:numPr>
      </w:pPr>
      <w:r>
        <w:t xml:space="preserve">Purchase of the land if the owner is willing to sell it by ordinary sale pursuant to Section 190 of the </w:t>
      </w:r>
      <w:r w:rsidRPr="003A79F4">
        <w:t>Planning and Development Act 2005.</w:t>
      </w:r>
    </w:p>
    <w:p w14:paraId="2D769A06" w14:textId="77777777" w:rsidR="00594B04" w:rsidRPr="003A79F4" w:rsidRDefault="00594B04" w:rsidP="00FF5CBF">
      <w:pPr>
        <w:pStyle w:val="ListBullet0"/>
        <w:numPr>
          <w:ilvl w:val="1"/>
          <w:numId w:val="42"/>
        </w:numPr>
      </w:pPr>
      <w:r>
        <w:t xml:space="preserve">Compulsory taking of the land without agreement pursuant to Section 191 of the </w:t>
      </w:r>
      <w:r w:rsidRPr="003A79F4">
        <w:t>Planning and Development Act 2005 coupled with the Land Administration Act 1997.</w:t>
      </w:r>
    </w:p>
    <w:p w14:paraId="39FFA3B5" w14:textId="77777777" w:rsidR="00594B04" w:rsidRDefault="00594B04" w:rsidP="00A97817">
      <w:pPr>
        <w:pStyle w:val="ListBullet0"/>
        <w:numPr>
          <w:ilvl w:val="0"/>
          <w:numId w:val="60"/>
        </w:numPr>
      </w:pPr>
      <w:r>
        <w:t>Land zoned under LPS 2 within an SCA:</w:t>
      </w:r>
    </w:p>
    <w:p w14:paraId="1F383431" w14:textId="77777777" w:rsidR="00594B04" w:rsidRPr="003A79F4" w:rsidRDefault="00594B04" w:rsidP="00FF5CBF">
      <w:pPr>
        <w:pStyle w:val="ListBullet0"/>
        <w:numPr>
          <w:ilvl w:val="1"/>
          <w:numId w:val="42"/>
        </w:numPr>
      </w:pPr>
      <w:r>
        <w:t xml:space="preserve">Taking of land by agreement under </w:t>
      </w:r>
      <w:r w:rsidRPr="003A79F4">
        <w:t>the Land Administration Act 1997.</w:t>
      </w:r>
    </w:p>
    <w:p w14:paraId="4A3702AF" w14:textId="77777777" w:rsidR="00594B04" w:rsidRPr="003A79F4" w:rsidRDefault="00594B04" w:rsidP="00FF5CBF">
      <w:pPr>
        <w:pStyle w:val="ListBullet0"/>
        <w:numPr>
          <w:ilvl w:val="1"/>
          <w:numId w:val="42"/>
        </w:numPr>
      </w:pPr>
      <w:r>
        <w:t xml:space="preserve">Compulsory taking with the assistance of the Minister for Lands for a ‘public work’ under the </w:t>
      </w:r>
      <w:r w:rsidRPr="003A79F4">
        <w:t>Land Administration Act 1997.</w:t>
      </w:r>
    </w:p>
    <w:p w14:paraId="3B6EC6F8" w14:textId="77777777" w:rsidR="00594B04" w:rsidRDefault="00594B04" w:rsidP="00594B04">
      <w:pPr>
        <w:pStyle w:val="BodyText"/>
      </w:pPr>
      <w:r>
        <w:t xml:space="preserve">The acquisition processes recommended in the CHRMAP Guidelines supports compensation paid to property owners. However, there is no obligation to adopt a policy that effectively forces the City to compensate property owners. In addition, there is no legal responsibility for the City to provide protection of a private property from natural hazards, nor compensate property owners where the land is lost to erosion. Accordingly, the City will need to determine the most appropriate mechanism available for the taking of land and identify potential </w:t>
      </w:r>
      <w:r w:rsidRPr="000B1EB1">
        <w:t xml:space="preserve">funding streams, actions, responsibilities and implementation for the acquisition of </w:t>
      </w:r>
      <w:r>
        <w:t>vulnerable properties.</w:t>
      </w:r>
    </w:p>
    <w:p w14:paraId="23D3F84E" w14:textId="77777777" w:rsidR="00594B04" w:rsidRPr="00995C0E" w:rsidRDefault="00594B04" w:rsidP="00594B04">
      <w:pPr>
        <w:pStyle w:val="BodyText"/>
      </w:pPr>
      <w:r>
        <w:t>Once at-risk properties have been acquired, all structures and assets shall be removed, and the land reserved for ‘Foreshore’ under LPS 2. This will enable expansion of the foreshore reserve, maintaining a natural barrier to coastal processes.</w:t>
      </w:r>
    </w:p>
    <w:p w14:paraId="00D2C937" w14:textId="77777777" w:rsidR="00FD05F6" w:rsidRDefault="00FD05F6" w:rsidP="00FD05F6">
      <w:pPr>
        <w:pStyle w:val="Heading4"/>
      </w:pPr>
      <w:bookmarkStart w:id="253" w:name="_Toc162518693"/>
      <w:r>
        <w:t>Accommodate</w:t>
      </w:r>
      <w:bookmarkEnd w:id="253"/>
    </w:p>
    <w:p w14:paraId="37D8C51F" w14:textId="77777777" w:rsidR="00594B04" w:rsidRPr="00995C0E" w:rsidRDefault="00594B04" w:rsidP="00594B04">
      <w:pPr>
        <w:pStyle w:val="BodyText"/>
      </w:pPr>
      <w:r>
        <w:t>The accommodate risk treatment option aims to utilise design and management strategies to reduce the risk to an acceptable level, allowing land to continue to be used until it has been determined that private use of the land should cease. The accommodate risk treatment option will be enacted through provisions within LPS 2 under an SCA and the adoption of a PRH Coastal Hazard Local Planning Policy which provides specific design requirements for development in vulnerable areas.</w:t>
      </w:r>
    </w:p>
    <w:p w14:paraId="5965AE55" w14:textId="77777777" w:rsidR="00FD05F6" w:rsidRDefault="00FD05F6" w:rsidP="00FD05F6">
      <w:pPr>
        <w:pStyle w:val="Heading4"/>
      </w:pPr>
      <w:bookmarkStart w:id="254" w:name="_Toc162518694"/>
      <w:r>
        <w:t>Protect</w:t>
      </w:r>
      <w:bookmarkEnd w:id="254"/>
    </w:p>
    <w:p w14:paraId="4590AEC8" w14:textId="77777777" w:rsidR="00594B04" w:rsidRPr="00995C0E" w:rsidRDefault="00594B04" w:rsidP="00594B04">
      <w:pPr>
        <w:pStyle w:val="BodyText"/>
      </w:pPr>
      <w:r>
        <w:t>The protect risk treatment option refers to physical protection measures such as seawalls, groynes, offshore breakwaters, artificial headlands, beach nourishment and the likes. It would not be practical for the planning framework to require landowners to undertake protection measures as part of the decision-making process. However, should landowners propose protection works on private land as a means of accommodating assets, the City will need to ensure the protection structures proposed as part of any future development do not cause undue impact on nearby properties and the locality.</w:t>
      </w:r>
    </w:p>
    <w:p w14:paraId="2760C0C6" w14:textId="77777777" w:rsidR="00FD05F6" w:rsidRDefault="00FD05F6" w:rsidP="00FD05F6">
      <w:pPr>
        <w:pStyle w:val="Heading3"/>
      </w:pPr>
      <w:bookmarkStart w:id="255" w:name="_Toc162518695"/>
      <w:bookmarkStart w:id="256" w:name="_Toc164420897"/>
      <w:r>
        <w:t>Recommended Planning Controls</w:t>
      </w:r>
      <w:bookmarkEnd w:id="255"/>
      <w:bookmarkEnd w:id="256"/>
    </w:p>
    <w:p w14:paraId="7D9AD56E" w14:textId="77777777" w:rsidR="00FD05F6" w:rsidRDefault="00FD05F6" w:rsidP="00FD05F6">
      <w:pPr>
        <w:pStyle w:val="Heading4"/>
      </w:pPr>
      <w:bookmarkStart w:id="257" w:name="_Toc162518696"/>
      <w:r>
        <w:t>Local Planning Strategy</w:t>
      </w:r>
      <w:bookmarkEnd w:id="257"/>
    </w:p>
    <w:p w14:paraId="380F5764" w14:textId="77777777" w:rsidR="00594B04" w:rsidRDefault="00594B04" w:rsidP="00594B04">
      <w:pPr>
        <w:pStyle w:val="BodyText"/>
      </w:pPr>
      <w:r>
        <w:t>This CHRMAP will inform the next iteration of the City’s Local Planning Strategy to guide land use planning and development in areas prone to coastal hazards. Areas of risk should not be identified for further intensification of development through rezoning or subdivision.</w:t>
      </w:r>
    </w:p>
    <w:p w14:paraId="3F9860E8" w14:textId="77777777" w:rsidR="00594B04" w:rsidRDefault="00594B04" w:rsidP="00594B04">
      <w:pPr>
        <w:pStyle w:val="BodyText"/>
      </w:pPr>
      <w:r>
        <w:lastRenderedPageBreak/>
        <w:t xml:space="preserve">The Local Planning Strategy shall include </w:t>
      </w:r>
      <w:r w:rsidRPr="008108C0">
        <w:t>a provision for</w:t>
      </w:r>
      <w:r>
        <w:t xml:space="preserve"> all SPP 2.6 requirements to be met at the earliest stage possible, including the requirements for the ongoing provision of a coastal foreshore reserve.</w:t>
      </w:r>
    </w:p>
    <w:p w14:paraId="35953497" w14:textId="53CA8C5B" w:rsidR="00594B04" w:rsidRPr="00594B04" w:rsidRDefault="00594B04" w:rsidP="00594B04">
      <w:pPr>
        <w:pStyle w:val="BodyText"/>
      </w:pPr>
      <w:r>
        <w:t>The Local Planning Strategy must consider the coastal hazard risks identified in this CHRMAP alongside other relevant planning matters including environmental, economic and social considerations to holistically inform and shape future expansion, as a precursor to future amendments to the City’s Local Planning Scheme.</w:t>
      </w:r>
    </w:p>
    <w:p w14:paraId="6A22F677" w14:textId="77777777" w:rsidR="00FD05F6" w:rsidRDefault="00FD05F6" w:rsidP="00FD05F6">
      <w:pPr>
        <w:pStyle w:val="Heading4"/>
      </w:pPr>
      <w:bookmarkStart w:id="258" w:name="_Toc162518697"/>
      <w:r>
        <w:t>Local Planning Scheme Amendment</w:t>
      </w:r>
      <w:bookmarkEnd w:id="258"/>
    </w:p>
    <w:p w14:paraId="722D9899" w14:textId="77777777" w:rsidR="00594B04" w:rsidRPr="002C131E" w:rsidRDefault="00594B04" w:rsidP="00594B04">
      <w:pPr>
        <w:pStyle w:val="BodyText"/>
        <w:rPr>
          <w:lang w:val="en-GB"/>
        </w:rPr>
      </w:pPr>
      <w:r w:rsidRPr="4C95C4B6">
        <w:rPr>
          <w:lang w:val="en-GB"/>
        </w:rPr>
        <w:t>The City</w:t>
      </w:r>
      <w:r>
        <w:rPr>
          <w:lang w:val="en-GB"/>
        </w:rPr>
        <w:t xml:space="preserve">’s Local Planning Scheme No. 2 (LPS 2) has recently been approved by the Minister for Planning and replaces the previous Local Planning Scheme No. 1 (LPS 1). </w:t>
      </w:r>
      <w:r w:rsidRPr="009474B8">
        <w:rPr>
          <w:lang w:val="en-GB"/>
        </w:rPr>
        <w:t xml:space="preserve">Future </w:t>
      </w:r>
      <w:r>
        <w:rPr>
          <w:lang w:val="en-GB"/>
        </w:rPr>
        <w:t>amendments</w:t>
      </w:r>
      <w:r w:rsidRPr="009474B8">
        <w:rPr>
          <w:lang w:val="en-GB"/>
        </w:rPr>
        <w:t xml:space="preserve"> </w:t>
      </w:r>
      <w:r>
        <w:rPr>
          <w:lang w:val="en-GB"/>
        </w:rPr>
        <w:t>to</w:t>
      </w:r>
      <w:r w:rsidRPr="009474B8">
        <w:rPr>
          <w:lang w:val="en-GB"/>
        </w:rPr>
        <w:t xml:space="preserve"> LPS 2</w:t>
      </w:r>
      <w:r>
        <w:rPr>
          <w:lang w:val="en-GB"/>
        </w:rPr>
        <w:t xml:space="preserve">, as initiated by the </w:t>
      </w:r>
      <w:r w:rsidRPr="002C131E">
        <w:rPr>
          <w:lang w:val="en-GB"/>
        </w:rPr>
        <w:t>City, shall include the following provisions, in accordance with the CHRMAP Guidelines:</w:t>
      </w:r>
    </w:p>
    <w:p w14:paraId="5A4419DF" w14:textId="4A79C3A8" w:rsidR="00594B04" w:rsidRPr="002B6724" w:rsidRDefault="00594B04" w:rsidP="00A97817">
      <w:pPr>
        <w:pStyle w:val="ListBullet0"/>
        <w:numPr>
          <w:ilvl w:val="0"/>
          <w:numId w:val="60"/>
        </w:numPr>
      </w:pPr>
      <w:r w:rsidRPr="00054F42">
        <w:t xml:space="preserve">Update Special Control Area 16 – Princess Royal Harbour Inundation Area under Schedule 8 of LPS 2 to Special Control Area 16 – Princess Royal Harbour Coastal Hazard Area. The recommended provisions for SCA 16 have been outlined in </w:t>
      </w:r>
      <w:r w:rsidRPr="00054F42">
        <w:fldChar w:fldCharType="begin"/>
      </w:r>
      <w:r w:rsidRPr="00054F42">
        <w:instrText xml:space="preserve"> REF _Ref162448166 \h </w:instrText>
      </w:r>
      <w:r w:rsidR="00500015" w:rsidRPr="00054F42">
        <w:instrText xml:space="preserve"> \* MERGEFORMAT </w:instrText>
      </w:r>
      <w:r w:rsidRPr="00054F42">
        <w:fldChar w:fldCharType="separate"/>
      </w:r>
      <w:r w:rsidRPr="00054F42">
        <w:t>Table 8</w:t>
      </w:r>
      <w:r w:rsidRPr="00054F42">
        <w:noBreakHyphen/>
        <w:t>2</w:t>
      </w:r>
      <w:r w:rsidRPr="00054F42">
        <w:fldChar w:fldCharType="end"/>
      </w:r>
      <w:r w:rsidRPr="00054F42">
        <w:t>.</w:t>
      </w:r>
    </w:p>
    <w:p w14:paraId="01A15642" w14:textId="77777777" w:rsidR="00594B04" w:rsidRPr="009474B8" w:rsidRDefault="00594B04" w:rsidP="00A97817">
      <w:pPr>
        <w:pStyle w:val="ListBullet0"/>
        <w:numPr>
          <w:ilvl w:val="0"/>
          <w:numId w:val="60"/>
        </w:numPr>
      </w:pPr>
      <w:r w:rsidRPr="00054F42">
        <w:t>Update SCA 16</w:t>
      </w:r>
      <w:r w:rsidRPr="009474B8">
        <w:t xml:space="preserve"> on the Scheme Map to reflect the 2122 coastal hazard risks identified in Cardno (2022). </w:t>
      </w:r>
    </w:p>
    <w:p w14:paraId="2576D814" w14:textId="77777777" w:rsidR="00594B04" w:rsidRPr="00995C0E" w:rsidRDefault="00594B04" w:rsidP="00594B04">
      <w:pPr>
        <w:pStyle w:val="BodyText"/>
      </w:pPr>
      <w:r w:rsidRPr="00B92209">
        <w:t xml:space="preserve">The City shall amend LPS 2 to include the recommendations of this CHRMAP as part of next scheduled scheme review. The </w:t>
      </w:r>
      <w:r>
        <w:t>City</w:t>
      </w:r>
      <w:r w:rsidRPr="00B92209">
        <w:t xml:space="preserve"> may defer implementation of certain recommendations following updates to the hazard </w:t>
      </w:r>
      <w:r>
        <w:t>modelling</w:t>
      </w:r>
      <w:r w:rsidRPr="00B92209">
        <w:t xml:space="preserve"> through future </w:t>
      </w:r>
      <w:r>
        <w:t>iterations</w:t>
      </w:r>
      <w:r w:rsidRPr="00B92209">
        <w:t xml:space="preserve"> of this CHRMAP.</w:t>
      </w:r>
    </w:p>
    <w:p w14:paraId="49AAEAED" w14:textId="77777777" w:rsidR="00FD05F6" w:rsidRDefault="00FD05F6" w:rsidP="00FD05F6">
      <w:pPr>
        <w:pStyle w:val="Heading4"/>
      </w:pPr>
      <w:bookmarkStart w:id="259" w:name="_Toc162518698"/>
      <w:r>
        <w:t>Special Control Area</w:t>
      </w:r>
      <w:bookmarkEnd w:id="259"/>
    </w:p>
    <w:p w14:paraId="3BA71FF3" w14:textId="77777777" w:rsidR="00594B04" w:rsidRDefault="00594B04" w:rsidP="00594B04">
      <w:pPr>
        <w:pStyle w:val="BodyText"/>
      </w:pPr>
      <w:r w:rsidRPr="00CF1FF1">
        <w:rPr>
          <w:lang w:val="en-GB"/>
        </w:rPr>
        <w:t xml:space="preserve">The introduction of a Special Control Area (SCA) </w:t>
      </w:r>
      <w:r w:rsidRPr="005D4C2B">
        <w:rPr>
          <w:lang w:val="en-GB"/>
        </w:rPr>
        <w:t xml:space="preserve">for </w:t>
      </w:r>
      <w:r>
        <w:rPr>
          <w:lang w:val="en-GB"/>
        </w:rPr>
        <w:t>all land</w:t>
      </w:r>
      <w:r w:rsidRPr="005D4C2B">
        <w:rPr>
          <w:lang w:val="en-GB"/>
        </w:rPr>
        <w:t xml:space="preserve"> </w:t>
      </w:r>
      <w:r>
        <w:rPr>
          <w:lang w:val="en-GB"/>
        </w:rPr>
        <w:t>affected by coastal hazards over the 100-year planning period</w:t>
      </w:r>
      <w:r w:rsidRPr="005D4C2B">
        <w:rPr>
          <w:lang w:val="en-GB"/>
        </w:rPr>
        <w:t xml:space="preserve"> will provide the most effective</w:t>
      </w:r>
      <w:r>
        <w:rPr>
          <w:lang w:val="en-GB"/>
        </w:rPr>
        <w:t xml:space="preserve"> </w:t>
      </w:r>
      <w:r w:rsidRPr="005D4C2B">
        <w:rPr>
          <w:lang w:val="en-GB"/>
        </w:rPr>
        <w:t xml:space="preserve">response to </w:t>
      </w:r>
      <w:r>
        <w:t>the identified risks. The SCA will stipulate provisions to respond to the hazards identified in this CHRMAP.</w:t>
      </w:r>
    </w:p>
    <w:p w14:paraId="15818505" w14:textId="132F0FD1" w:rsidR="00594B04" w:rsidRPr="004C5787" w:rsidRDefault="00594B04" w:rsidP="00594B04">
      <w:pPr>
        <w:pStyle w:val="BodyText"/>
      </w:pPr>
      <w:r>
        <w:t xml:space="preserve">Schedule 8 of LPS 2 already contains SCA 16 which prescribes certain requirements in response to inundation along the PRH coastline. To ensure the planning response is concise and easy to </w:t>
      </w:r>
      <w:r w:rsidRPr="009C05E2">
        <w:t>interpret</w:t>
      </w:r>
      <w:r>
        <w:t xml:space="preserve">, it is recommended that SCA 16 is modified rather than include a new SCA to holistically </w:t>
      </w:r>
      <w:r w:rsidRPr="004C5787">
        <w:t>respond to the coastal hazards identified in this CHRMAP. The recommended updates to SCA 16 have been summarised in</w:t>
      </w:r>
      <w:r>
        <w:t xml:space="preserve"> </w:t>
      </w:r>
      <w:r>
        <w:rPr>
          <w:highlight w:val="yellow"/>
        </w:rPr>
        <w:fldChar w:fldCharType="begin"/>
      </w:r>
      <w:r>
        <w:instrText xml:space="preserve"> REF _Ref155706474 \h </w:instrText>
      </w:r>
      <w:r>
        <w:rPr>
          <w:highlight w:val="yellow"/>
        </w:rPr>
      </w:r>
      <w:r>
        <w:rPr>
          <w:highlight w:val="yellow"/>
        </w:rPr>
        <w:fldChar w:fldCharType="separate"/>
      </w:r>
      <w:r>
        <w:t>Table </w:t>
      </w:r>
      <w:r>
        <w:rPr>
          <w:noProof/>
        </w:rPr>
        <w:t>8</w:t>
      </w:r>
      <w:r>
        <w:noBreakHyphen/>
      </w:r>
      <w:r>
        <w:rPr>
          <w:noProof/>
        </w:rPr>
        <w:t>2</w:t>
      </w:r>
      <w:r>
        <w:rPr>
          <w:highlight w:val="yellow"/>
        </w:rPr>
        <w:fldChar w:fldCharType="end"/>
      </w:r>
      <w:r w:rsidRPr="004C5787">
        <w:t xml:space="preserve">. </w:t>
      </w:r>
    </w:p>
    <w:p w14:paraId="24D8DF32" w14:textId="77777777" w:rsidR="00594B04" w:rsidRDefault="00594B04" w:rsidP="00594B04">
      <w:pPr>
        <w:pStyle w:val="BodyText"/>
        <w:rPr>
          <w:lang w:val="en-GB"/>
        </w:rPr>
      </w:pPr>
      <w:r w:rsidRPr="004C5787">
        <w:rPr>
          <w:lang w:val="en-GB"/>
        </w:rPr>
        <w:t xml:space="preserve">It is noted that some forms of development cannot be controlled by a SCA, such as works carried out by public authorities under </w:t>
      </w:r>
      <w:r w:rsidRPr="00C4389A">
        <w:rPr>
          <w:rFonts w:cstheme="minorHAnsi"/>
          <w:lang w:val="en-GB"/>
        </w:rPr>
        <w:t xml:space="preserve">the </w:t>
      </w:r>
      <w:r w:rsidRPr="00C4389A">
        <w:rPr>
          <w:rFonts w:cstheme="minorHAnsi"/>
          <w:i/>
          <w:iCs/>
          <w:lang w:val="en-GB"/>
        </w:rPr>
        <w:t>Public Works Act 1902</w:t>
      </w:r>
      <w:r w:rsidRPr="00C4389A">
        <w:rPr>
          <w:rFonts w:cstheme="minorHAnsi"/>
          <w:lang w:val="en-GB"/>
        </w:rPr>
        <w:t>. The</w:t>
      </w:r>
      <w:r w:rsidRPr="004C5787">
        <w:rPr>
          <w:lang w:val="en-GB"/>
        </w:rPr>
        <w:t xml:space="preserve"> City should liaise with the public authorities regarding such development to ensure it is not incongruous with the long-term pathway set out for the area.</w:t>
      </w:r>
    </w:p>
    <w:p w14:paraId="2965BA7B" w14:textId="77777777" w:rsidR="00594B04" w:rsidRDefault="00594B04" w:rsidP="00594B04">
      <w:pPr>
        <w:pStyle w:val="BodyText"/>
        <w:sectPr w:rsidR="00594B04" w:rsidSect="00AB3B28">
          <w:footerReference w:type="default" r:id="rId58"/>
          <w:pgSz w:w="11906" w:h="16838" w:code="9"/>
          <w:pgMar w:top="1985" w:right="1134" w:bottom="1701" w:left="1134" w:header="567" w:footer="567" w:gutter="0"/>
          <w:cols w:space="708"/>
          <w:docGrid w:linePitch="360"/>
        </w:sectPr>
      </w:pPr>
    </w:p>
    <w:p w14:paraId="50DB6643" w14:textId="651F1A75" w:rsidR="00594B04" w:rsidRDefault="00594B04" w:rsidP="00594B04">
      <w:pPr>
        <w:pStyle w:val="TableCaption"/>
      </w:pPr>
      <w:bookmarkStart w:id="260" w:name="_Ref162448166"/>
      <w:bookmarkStart w:id="261" w:name="_Ref155706474"/>
      <w:bookmarkStart w:id="262" w:name="_Toc156209458"/>
      <w:bookmarkStart w:id="263" w:name="_Toc164411292"/>
      <w:r>
        <w:lastRenderedPageBreak/>
        <w:t>Table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2</w:t>
      </w:r>
      <w:r w:rsidR="008647EF">
        <w:fldChar w:fldCharType="end"/>
      </w:r>
      <w:bookmarkEnd w:id="260"/>
      <w:bookmarkEnd w:id="261"/>
      <w:r>
        <w:tab/>
        <w:t>Recommended updates to SCA16 in 2022 draft of LPS 2.</w:t>
      </w:r>
      <w:bookmarkEnd w:id="262"/>
      <w:bookmarkEnd w:id="263"/>
    </w:p>
    <w:tbl>
      <w:tblPr>
        <w:tblStyle w:val="BlueTable"/>
        <w:tblW w:w="0" w:type="auto"/>
        <w:tblLook w:val="0620" w:firstRow="1" w:lastRow="0" w:firstColumn="0" w:lastColumn="0" w:noHBand="1" w:noVBand="1"/>
      </w:tblPr>
      <w:tblGrid>
        <w:gridCol w:w="2936"/>
        <w:gridCol w:w="6017"/>
        <w:gridCol w:w="11162"/>
      </w:tblGrid>
      <w:tr w:rsidR="00594B04" w14:paraId="6BB47C6A" w14:textId="77777777" w:rsidTr="001355DB">
        <w:trPr>
          <w:cnfStyle w:val="100000000000" w:firstRow="1" w:lastRow="0" w:firstColumn="0" w:lastColumn="0" w:oddVBand="0" w:evenVBand="0" w:oddHBand="0" w:evenHBand="0" w:firstRowFirstColumn="0" w:firstRowLastColumn="0" w:lastRowFirstColumn="0" w:lastRowLastColumn="0"/>
        </w:trPr>
        <w:tc>
          <w:tcPr>
            <w:tcW w:w="0" w:type="auto"/>
          </w:tcPr>
          <w:p w14:paraId="0BEF0032" w14:textId="77777777" w:rsidR="00594B04" w:rsidRDefault="00594B04" w:rsidP="001355DB">
            <w:pPr>
              <w:pStyle w:val="TableHeading"/>
              <w:keepNext/>
            </w:pPr>
            <w:r>
              <w:t>Name of Area</w:t>
            </w:r>
          </w:p>
        </w:tc>
        <w:tc>
          <w:tcPr>
            <w:tcW w:w="0" w:type="auto"/>
          </w:tcPr>
          <w:p w14:paraId="6AE72832" w14:textId="77777777" w:rsidR="00594B04" w:rsidRDefault="00594B04" w:rsidP="001355DB">
            <w:pPr>
              <w:pStyle w:val="TableHeading"/>
              <w:keepNext/>
            </w:pPr>
            <w:r>
              <w:t>Purpose</w:t>
            </w:r>
          </w:p>
        </w:tc>
        <w:tc>
          <w:tcPr>
            <w:tcW w:w="0" w:type="auto"/>
          </w:tcPr>
          <w:p w14:paraId="40FE028C" w14:textId="77777777" w:rsidR="00594B04" w:rsidRDefault="00594B04" w:rsidP="001355DB">
            <w:pPr>
              <w:pStyle w:val="TableHeading"/>
              <w:keepNext/>
            </w:pPr>
            <w:r>
              <w:t>Additional Provisions</w:t>
            </w:r>
          </w:p>
        </w:tc>
      </w:tr>
      <w:tr w:rsidR="00594B04" w14:paraId="6060FFBD" w14:textId="77777777" w:rsidTr="001355DB">
        <w:tc>
          <w:tcPr>
            <w:tcW w:w="0" w:type="auto"/>
          </w:tcPr>
          <w:p w14:paraId="0615DA42" w14:textId="77777777" w:rsidR="00594B04" w:rsidRDefault="00594B04" w:rsidP="001355DB">
            <w:pPr>
              <w:pStyle w:val="TableText"/>
            </w:pPr>
            <w:r w:rsidRPr="00C527FD">
              <w:t>Special Control Area 16 – Princess Royal Harbour Coastal Hazard Area (SCA 16)</w:t>
            </w:r>
          </w:p>
        </w:tc>
        <w:tc>
          <w:tcPr>
            <w:tcW w:w="0" w:type="auto"/>
          </w:tcPr>
          <w:p w14:paraId="0F62D140" w14:textId="77777777" w:rsidR="00594B04" w:rsidRDefault="00594B04" w:rsidP="00FF5CBF">
            <w:pPr>
              <w:pStyle w:val="TableText"/>
              <w:numPr>
                <w:ilvl w:val="0"/>
                <w:numId w:val="24"/>
              </w:numPr>
              <w:spacing w:before="80" w:after="40" w:line="276" w:lineRule="auto"/>
            </w:pPr>
            <w:r w:rsidRPr="00560018">
              <w:t>To provide guidance for land use and development within areas subject to erosion</w:t>
            </w:r>
            <w:r>
              <w:t xml:space="preserve"> and </w:t>
            </w:r>
            <w:r w:rsidRPr="00560018">
              <w:t>inundation.</w:t>
            </w:r>
          </w:p>
          <w:p w14:paraId="5D022B5C" w14:textId="77777777" w:rsidR="00594B04" w:rsidRDefault="00594B04" w:rsidP="00FF5CBF">
            <w:pPr>
              <w:pStyle w:val="TableText"/>
              <w:numPr>
                <w:ilvl w:val="0"/>
                <w:numId w:val="25"/>
              </w:numPr>
              <w:spacing w:before="80" w:after="40" w:line="276" w:lineRule="auto"/>
            </w:pPr>
            <w:r>
              <w:t>To identify land within Princess Royal Harbour at risk of coastal erosion and inundation by 2122.</w:t>
            </w:r>
          </w:p>
          <w:p w14:paraId="37466195" w14:textId="77777777" w:rsidR="00594B04" w:rsidRDefault="00594B04" w:rsidP="00FF5CBF">
            <w:pPr>
              <w:pStyle w:val="TableText"/>
              <w:numPr>
                <w:ilvl w:val="0"/>
                <w:numId w:val="25"/>
              </w:numPr>
              <w:spacing w:before="80" w:after="40" w:line="276" w:lineRule="auto"/>
            </w:pPr>
            <w:r w:rsidRPr="00326C01">
              <w:t>To ensure land in the coastal zone is continuously available for coastal foreshore management, public access, recreation and conservation</w:t>
            </w:r>
            <w:r>
              <w:t xml:space="preserve"> purposes.</w:t>
            </w:r>
          </w:p>
          <w:p w14:paraId="221A5FF5" w14:textId="77777777" w:rsidR="00594B04" w:rsidRDefault="00594B04" w:rsidP="00FF5CBF">
            <w:pPr>
              <w:pStyle w:val="TableText"/>
              <w:numPr>
                <w:ilvl w:val="0"/>
                <w:numId w:val="25"/>
              </w:numPr>
              <w:spacing w:before="80" w:after="40" w:line="276" w:lineRule="auto"/>
            </w:pPr>
            <w:r w:rsidRPr="00326C01">
              <w:t xml:space="preserve">To ensure public </w:t>
            </w:r>
            <w:r>
              <w:t xml:space="preserve">health and </w:t>
            </w:r>
            <w:r w:rsidRPr="00326C01">
              <w:t xml:space="preserve">safety and reduce risk associated with </w:t>
            </w:r>
            <w:r>
              <w:t xml:space="preserve">coastal </w:t>
            </w:r>
            <w:r w:rsidRPr="00326C01">
              <w:t>erosion</w:t>
            </w:r>
            <w:r>
              <w:t xml:space="preserve"> and </w:t>
            </w:r>
            <w:r w:rsidRPr="00326C01">
              <w:t>inundation</w:t>
            </w:r>
            <w:r>
              <w:t>.</w:t>
            </w:r>
          </w:p>
          <w:p w14:paraId="68DFF0C6" w14:textId="77777777" w:rsidR="00594B04" w:rsidRDefault="00594B04" w:rsidP="00FF5CBF">
            <w:pPr>
              <w:pStyle w:val="TableText"/>
              <w:numPr>
                <w:ilvl w:val="0"/>
                <w:numId w:val="25"/>
              </w:numPr>
              <w:spacing w:before="80" w:after="40" w:line="276" w:lineRule="auto"/>
            </w:pPr>
            <w:r w:rsidRPr="00326C01">
              <w:t xml:space="preserve">To avoid inappropriate land use and development of land at risk of </w:t>
            </w:r>
            <w:r>
              <w:t xml:space="preserve">coastal </w:t>
            </w:r>
            <w:r w:rsidRPr="00326C01">
              <w:t xml:space="preserve">erosion </w:t>
            </w:r>
            <w:r>
              <w:t xml:space="preserve">and </w:t>
            </w:r>
            <w:r w:rsidRPr="00326C01">
              <w:t>inundation.</w:t>
            </w:r>
          </w:p>
          <w:p w14:paraId="7224D3AA" w14:textId="77777777" w:rsidR="00594B04" w:rsidRDefault="00594B04" w:rsidP="00FF5CBF">
            <w:pPr>
              <w:pStyle w:val="TableText"/>
              <w:numPr>
                <w:ilvl w:val="0"/>
                <w:numId w:val="25"/>
              </w:numPr>
              <w:spacing w:before="80" w:after="40" w:line="276" w:lineRule="auto"/>
            </w:pPr>
            <w:r w:rsidRPr="00326C01">
              <w:t xml:space="preserve">To ensure land use and development does not accelerate </w:t>
            </w:r>
            <w:r>
              <w:t>coastal processes</w:t>
            </w:r>
            <w:r w:rsidRPr="00326C01">
              <w:t>; or have a detrimental impact on the functions of public reserves.</w:t>
            </w:r>
          </w:p>
          <w:p w14:paraId="09D904A4" w14:textId="77777777" w:rsidR="00594B04" w:rsidRDefault="00594B04" w:rsidP="001355DB">
            <w:pPr>
              <w:pStyle w:val="TableText"/>
            </w:pPr>
            <w:r>
              <w:t xml:space="preserve">To ensure coastal process considerations are taken into account in preparing strategic planning proposals and in assessing subdivision and development applications. </w:t>
            </w:r>
          </w:p>
        </w:tc>
        <w:tc>
          <w:tcPr>
            <w:tcW w:w="0" w:type="auto"/>
          </w:tcPr>
          <w:p w14:paraId="6593BFFF" w14:textId="77777777" w:rsidR="00594B04" w:rsidRPr="00326C01" w:rsidRDefault="00594B04" w:rsidP="00FF5CBF">
            <w:pPr>
              <w:pStyle w:val="TableText"/>
              <w:numPr>
                <w:ilvl w:val="0"/>
                <w:numId w:val="27"/>
              </w:numPr>
              <w:spacing w:before="80" w:after="40" w:line="276" w:lineRule="auto"/>
            </w:pPr>
            <w:r w:rsidRPr="00326C01">
              <w:t>Notwithstanding any other provision of the Scheme, all proposed development within SCA</w:t>
            </w:r>
            <w:r>
              <w:t xml:space="preserve"> </w:t>
            </w:r>
            <w:r w:rsidRPr="00326C01">
              <w:t>1</w:t>
            </w:r>
            <w:r>
              <w:t>6</w:t>
            </w:r>
            <w:r w:rsidRPr="00326C01">
              <w:t xml:space="preserve"> requires the approval of the local government</w:t>
            </w:r>
            <w:r>
              <w:t>.</w:t>
            </w:r>
          </w:p>
          <w:p w14:paraId="70399138" w14:textId="77777777" w:rsidR="00594B04" w:rsidRPr="00326C01" w:rsidRDefault="00594B04" w:rsidP="00FF5CBF">
            <w:pPr>
              <w:pStyle w:val="TableText"/>
              <w:numPr>
                <w:ilvl w:val="0"/>
                <w:numId w:val="27"/>
              </w:numPr>
              <w:spacing w:before="80" w:after="40" w:line="276" w:lineRule="auto"/>
            </w:pPr>
            <w:r>
              <w:t xml:space="preserve">In considering any application for development approval, or its advice in relation to a proposed structure plan, or application for subdivision for land within SCA16, the local government is to have particular regard to: </w:t>
            </w:r>
          </w:p>
          <w:p w14:paraId="6B850DA6" w14:textId="77777777" w:rsidR="00594B04" w:rsidRPr="00326C01" w:rsidRDefault="00594B04" w:rsidP="00FF5CBF">
            <w:pPr>
              <w:pStyle w:val="TableText"/>
              <w:numPr>
                <w:ilvl w:val="0"/>
                <w:numId w:val="26"/>
              </w:numPr>
              <w:spacing w:before="80" w:after="40" w:line="276" w:lineRule="auto"/>
            </w:pPr>
            <w:r w:rsidRPr="00326C01">
              <w:t xml:space="preserve">The </w:t>
            </w:r>
            <w:r>
              <w:t>Princess Royal Harbour</w:t>
            </w:r>
            <w:r w:rsidRPr="00326C01">
              <w:t xml:space="preserve"> Coastal Hazard and Risk Management Adaptation Plan.</w:t>
            </w:r>
          </w:p>
          <w:p w14:paraId="6A698054" w14:textId="77777777" w:rsidR="00594B04" w:rsidRPr="00326C01" w:rsidRDefault="00594B04" w:rsidP="00FF5CBF">
            <w:pPr>
              <w:pStyle w:val="TableText"/>
              <w:numPr>
                <w:ilvl w:val="0"/>
                <w:numId w:val="26"/>
              </w:numPr>
              <w:spacing w:before="80" w:after="40" w:line="276" w:lineRule="auto"/>
            </w:pPr>
            <w:r w:rsidRPr="00326C01">
              <w:t>State Planning Policy 2.6 – State Coastal Planning Policy.</w:t>
            </w:r>
          </w:p>
          <w:p w14:paraId="6C6D0D6D" w14:textId="77777777" w:rsidR="00594B04" w:rsidRDefault="00594B04" w:rsidP="00FF5CBF">
            <w:pPr>
              <w:pStyle w:val="TableText"/>
              <w:numPr>
                <w:ilvl w:val="0"/>
                <w:numId w:val="26"/>
              </w:numPr>
              <w:spacing w:before="80" w:after="40" w:line="276" w:lineRule="auto"/>
            </w:pPr>
            <w:r>
              <w:t>The PRH Coastal Hazard</w:t>
            </w:r>
            <w:r w:rsidRPr="00326C01">
              <w:t xml:space="preserve"> Local Planning Policy.</w:t>
            </w:r>
          </w:p>
          <w:p w14:paraId="2EA8F28E" w14:textId="77777777" w:rsidR="00594B04" w:rsidRDefault="00594B04" w:rsidP="00FF5CBF">
            <w:pPr>
              <w:pStyle w:val="TableText"/>
              <w:numPr>
                <w:ilvl w:val="0"/>
                <w:numId w:val="27"/>
              </w:numPr>
              <w:spacing w:before="80" w:after="40" w:line="276" w:lineRule="auto"/>
            </w:pPr>
            <w:r>
              <w:t>In considering an application for development approval within SCA 16, the local government may refer the application to any statutory, public or planning authority for advice and recommendations prior to determination.</w:t>
            </w:r>
          </w:p>
          <w:p w14:paraId="226DF10D" w14:textId="77777777" w:rsidR="00594B04" w:rsidRDefault="00594B04" w:rsidP="00FF5CBF">
            <w:pPr>
              <w:pStyle w:val="TableText"/>
              <w:numPr>
                <w:ilvl w:val="0"/>
                <w:numId w:val="27"/>
              </w:numPr>
              <w:spacing w:before="80" w:after="40" w:line="276" w:lineRule="auto"/>
            </w:pPr>
            <w:r>
              <w:t>Where the local government decides to approve an application for development approval, it may impose a condition to require the registration of a notification under section 70A of the</w:t>
            </w:r>
            <w:r w:rsidRPr="00C01821">
              <w:t xml:space="preserve"> Transfer of Land Act 1893</w:t>
            </w:r>
            <w:r w:rsidRPr="009602D4">
              <w:rPr>
                <w:i/>
                <w:iCs/>
              </w:rPr>
              <w:t xml:space="preserve"> </w:t>
            </w:r>
            <w:r>
              <w:t>on the Certificate of Title of the subject land advising:</w:t>
            </w:r>
          </w:p>
          <w:p w14:paraId="6EC553CA" w14:textId="77777777" w:rsidR="00594B04" w:rsidRDefault="00594B04" w:rsidP="00FF5CBF">
            <w:pPr>
              <w:pStyle w:val="TableText"/>
              <w:numPr>
                <w:ilvl w:val="1"/>
                <w:numId w:val="27"/>
              </w:numPr>
              <w:spacing w:before="80" w:after="40" w:line="276" w:lineRule="auto"/>
            </w:pPr>
            <w:r>
              <w:t>That the lot is located in an area likely to be subject to coastal erosion or inundation over the next 100 years.</w:t>
            </w:r>
          </w:p>
          <w:p w14:paraId="232C64F2" w14:textId="77777777" w:rsidR="00594B04" w:rsidRDefault="00594B04" w:rsidP="00FF5CBF">
            <w:pPr>
              <w:pStyle w:val="TableText"/>
              <w:numPr>
                <w:ilvl w:val="1"/>
                <w:numId w:val="27"/>
              </w:numPr>
              <w:spacing w:before="80" w:after="40" w:line="276" w:lineRule="auto"/>
            </w:pPr>
            <w:r>
              <w:t>Any limited term of a development approval.</w:t>
            </w:r>
          </w:p>
          <w:p w14:paraId="7929556D" w14:textId="77777777" w:rsidR="00594B04" w:rsidRDefault="00594B04" w:rsidP="00FF5CBF">
            <w:pPr>
              <w:pStyle w:val="TableText"/>
              <w:numPr>
                <w:ilvl w:val="1"/>
                <w:numId w:val="27"/>
              </w:numPr>
              <w:spacing w:before="80" w:after="40" w:line="276" w:lineRule="auto"/>
            </w:pPr>
            <w:r>
              <w:t>Any requirement to remove approved development and restore the land as near as practicable to its pre-development condition to the satisfaction of the local government upon a trigger event occurring, as defined in the PRH Coastal Hazard Local Planning Policy.</w:t>
            </w:r>
          </w:p>
          <w:p w14:paraId="41BF3BAC" w14:textId="77777777" w:rsidR="00594B04" w:rsidRDefault="00594B04" w:rsidP="00FF5CBF">
            <w:pPr>
              <w:pStyle w:val="TableText"/>
              <w:numPr>
                <w:ilvl w:val="0"/>
                <w:numId w:val="27"/>
              </w:numPr>
              <w:spacing w:before="80" w:after="40" w:line="276" w:lineRule="auto"/>
            </w:pPr>
            <w:r>
              <w:t xml:space="preserve">Where subdivision applications are received within SCA 16, the local government may recommend that the Commission requires a notification under section 165 of the P&amp;D Act to be placed on the Certificate(s) of Title of the subject land advising that the lot(s) is located in an area likely to be subject to coastal erosion and inundation over the next 100 years. </w:t>
            </w:r>
          </w:p>
        </w:tc>
      </w:tr>
    </w:tbl>
    <w:p w14:paraId="02313E5A" w14:textId="77777777" w:rsidR="00594B04" w:rsidRDefault="00594B04" w:rsidP="00594B04">
      <w:pPr>
        <w:pStyle w:val="BodyText"/>
        <w:sectPr w:rsidR="00594B04" w:rsidSect="00594B04">
          <w:footerReference w:type="default" r:id="rId59"/>
          <w:pgSz w:w="23811" w:h="16838" w:orient="landscape" w:code="8"/>
          <w:pgMar w:top="1134" w:right="1985" w:bottom="1134" w:left="1701" w:header="567" w:footer="567" w:gutter="0"/>
          <w:cols w:space="708"/>
          <w:docGrid w:linePitch="360"/>
        </w:sectPr>
      </w:pPr>
    </w:p>
    <w:p w14:paraId="3376120A" w14:textId="77777777" w:rsidR="00594B04" w:rsidRPr="00594B04" w:rsidRDefault="00594B04" w:rsidP="00594B04">
      <w:pPr>
        <w:pStyle w:val="BodyText"/>
      </w:pPr>
    </w:p>
    <w:p w14:paraId="75408EBD" w14:textId="77777777" w:rsidR="00FD05F6" w:rsidRDefault="00FD05F6" w:rsidP="00FD05F6">
      <w:pPr>
        <w:pStyle w:val="Heading4"/>
      </w:pPr>
      <w:bookmarkStart w:id="264" w:name="_Toc162518699"/>
      <w:r>
        <w:t>PRH Coastal Hazard Local Planning Policy</w:t>
      </w:r>
      <w:bookmarkEnd w:id="264"/>
    </w:p>
    <w:p w14:paraId="6BD2E9C3" w14:textId="224B26B5" w:rsidR="00594B04" w:rsidRDefault="00594B04" w:rsidP="001906FC">
      <w:pPr>
        <w:pStyle w:val="BodyText"/>
      </w:pPr>
      <w:r w:rsidRPr="00D567B5">
        <w:rPr>
          <w:rFonts w:cstheme="minorHAnsi"/>
        </w:rPr>
        <w:t xml:space="preserve">Following the introduction of SCA 16 into LPS 2, the City shall prepare and adopt a PRH Coastal Hazard Local Planning Policy in accordance with Schedule 2 of the </w:t>
      </w:r>
      <w:r w:rsidRPr="00D567B5">
        <w:rPr>
          <w:rFonts w:cstheme="minorHAnsi"/>
          <w:i/>
          <w:iCs/>
        </w:rPr>
        <w:t xml:space="preserve">Planning and Development (Local Planning Schemes) Regulations 2015. </w:t>
      </w:r>
      <w:r w:rsidRPr="00D567B5">
        <w:rPr>
          <w:rFonts w:cstheme="minorHAnsi"/>
        </w:rPr>
        <w:t>It is recommended that the PRH Coastal Hazard Local Planning Policy includes provisions identified in</w:t>
      </w:r>
      <w:r w:rsidR="00615155">
        <w:rPr>
          <w:rFonts w:cstheme="minorHAnsi"/>
        </w:rPr>
        <w:t xml:space="preserve"> </w:t>
      </w:r>
      <w:r w:rsidR="00615155">
        <w:rPr>
          <w:rFonts w:cstheme="minorHAnsi"/>
        </w:rPr>
        <w:fldChar w:fldCharType="begin"/>
      </w:r>
      <w:r w:rsidR="00615155">
        <w:rPr>
          <w:rFonts w:cstheme="minorHAnsi"/>
        </w:rPr>
        <w:instrText xml:space="preserve"> REF _Ref164420778 \n \h </w:instrText>
      </w:r>
      <w:r w:rsidR="00615155">
        <w:rPr>
          <w:rFonts w:cstheme="minorHAnsi"/>
        </w:rPr>
      </w:r>
      <w:r w:rsidR="00615155">
        <w:rPr>
          <w:rFonts w:cstheme="minorHAnsi"/>
        </w:rPr>
        <w:fldChar w:fldCharType="separate"/>
      </w:r>
      <w:r w:rsidR="00615155">
        <w:rPr>
          <w:rFonts w:cstheme="minorHAnsi"/>
        </w:rPr>
        <w:t>Appendix H</w:t>
      </w:r>
      <w:r w:rsidR="00615155">
        <w:rPr>
          <w:rFonts w:cstheme="minorHAnsi"/>
        </w:rPr>
        <w:fldChar w:fldCharType="end"/>
      </w:r>
      <w:r w:rsidR="00054F42">
        <w:rPr>
          <w:rFonts w:cstheme="minorHAnsi"/>
        </w:rPr>
        <w:t xml:space="preserve"> </w:t>
      </w:r>
      <w:r w:rsidRPr="00D567B5">
        <w:rPr>
          <w:rFonts w:cstheme="minorHAnsi"/>
        </w:rPr>
        <w:t>which may be subject to further refinement by the City following the completion of this CHRMAP.</w:t>
      </w:r>
    </w:p>
    <w:p w14:paraId="063E5A2F" w14:textId="77777777" w:rsidR="00FD05F6" w:rsidRDefault="00FD05F6" w:rsidP="00FD05F6">
      <w:pPr>
        <w:pStyle w:val="Heading3"/>
      </w:pPr>
      <w:bookmarkStart w:id="265" w:name="_Toc162518700"/>
      <w:bookmarkStart w:id="266" w:name="_Toc164421006"/>
      <w:r>
        <w:t>Management Requirements</w:t>
      </w:r>
      <w:bookmarkEnd w:id="265"/>
      <w:bookmarkEnd w:id="266"/>
    </w:p>
    <w:p w14:paraId="12E0BF0C" w14:textId="77777777" w:rsidR="00FD05F6" w:rsidRDefault="00FD05F6" w:rsidP="00FD05F6">
      <w:pPr>
        <w:pStyle w:val="Heading4"/>
      </w:pPr>
      <w:bookmarkStart w:id="267" w:name="_Toc162518701"/>
      <w:r>
        <w:t>Model Conditions List</w:t>
      </w:r>
      <w:bookmarkEnd w:id="267"/>
    </w:p>
    <w:p w14:paraId="3CE53385" w14:textId="77777777" w:rsidR="00CB2877" w:rsidRPr="00A034CB" w:rsidRDefault="00CB2877" w:rsidP="00CB2877">
      <w:pPr>
        <w:pStyle w:val="BodyText"/>
      </w:pPr>
      <w:r w:rsidRPr="00A034CB">
        <w:t xml:space="preserve">The </w:t>
      </w:r>
      <w:r>
        <w:t>City</w:t>
      </w:r>
      <w:r w:rsidRPr="00A034CB">
        <w:t xml:space="preserve"> shall include the following conditions and advice notes to the model conditions list which can then be applied to development applications </w:t>
      </w:r>
      <w:r w:rsidRPr="00C527FD">
        <w:t>within SCA 16,</w:t>
      </w:r>
      <w:r w:rsidRPr="00A034CB">
        <w:t xml:space="preserve"> at the discretion of the </w:t>
      </w:r>
      <w:r>
        <w:t>City</w:t>
      </w:r>
      <w:r w:rsidRPr="00A034CB">
        <w:t>.</w:t>
      </w:r>
    </w:p>
    <w:p w14:paraId="3FF64903" w14:textId="77777777" w:rsidR="00CB2877" w:rsidRPr="00A034CB" w:rsidRDefault="00CB2877" w:rsidP="00CB2877">
      <w:pPr>
        <w:pStyle w:val="BodyText"/>
        <w:rPr>
          <w:u w:val="single"/>
        </w:rPr>
      </w:pPr>
      <w:r w:rsidRPr="00A034CB">
        <w:rPr>
          <w:u w:val="single"/>
        </w:rPr>
        <w:t>Conditions:</w:t>
      </w:r>
    </w:p>
    <w:p w14:paraId="665BCDCE" w14:textId="77777777" w:rsidR="00CB2877" w:rsidRPr="00A034CB" w:rsidRDefault="00CB2877" w:rsidP="00FF5CBF">
      <w:pPr>
        <w:pStyle w:val="BodyText"/>
        <w:numPr>
          <w:ilvl w:val="0"/>
          <w:numId w:val="18"/>
        </w:numPr>
        <w:snapToGrid w:val="0"/>
        <w:spacing w:before="120" w:after="0" w:line="288" w:lineRule="auto"/>
        <w:jc w:val="left"/>
      </w:pPr>
      <w:r w:rsidRPr="00A034CB">
        <w:t>The development approval shall cease to have effect and the development removed when:</w:t>
      </w:r>
    </w:p>
    <w:p w14:paraId="6AF3503E" w14:textId="77777777" w:rsidR="00CB2877" w:rsidRPr="00A034CB" w:rsidRDefault="00CB2877" w:rsidP="00FF5CBF">
      <w:pPr>
        <w:pStyle w:val="BodyText"/>
        <w:numPr>
          <w:ilvl w:val="1"/>
          <w:numId w:val="18"/>
        </w:numPr>
        <w:snapToGrid w:val="0"/>
        <w:spacing w:before="120" w:after="0" w:line="288" w:lineRule="auto"/>
        <w:jc w:val="left"/>
      </w:pPr>
      <w:r w:rsidRPr="00A034CB">
        <w:t xml:space="preserve">The most landward part of the Horizontal Shoreline Datum is </w:t>
      </w:r>
      <w:r>
        <w:t xml:space="preserve">within </w:t>
      </w:r>
      <w:r w:rsidRPr="25D90110">
        <w:rPr>
          <w:i/>
          <w:iCs/>
        </w:rPr>
        <w:t xml:space="preserve">[insert here the distance equivalent of the S1 Erosion Allowance (allowance for the current risk of erosion) for the subject lot as per the </w:t>
      </w:r>
      <w:r>
        <w:rPr>
          <w:i/>
          <w:iCs/>
        </w:rPr>
        <w:t>Princess Royal Harbour</w:t>
      </w:r>
      <w:r w:rsidRPr="25D90110">
        <w:rPr>
          <w:i/>
          <w:iCs/>
        </w:rPr>
        <w:t xml:space="preserve"> Coastal Hazard Risk Management Adaptation Plan as amended from time to time] metres </w:t>
      </w:r>
      <w:r w:rsidRPr="00A034CB">
        <w:t xml:space="preserve">of the most seaward part of the </w:t>
      </w:r>
      <w:r>
        <w:t>development</w:t>
      </w:r>
      <w:r w:rsidRPr="00A034CB">
        <w:t>; or</w:t>
      </w:r>
    </w:p>
    <w:p w14:paraId="135A56C2" w14:textId="77777777" w:rsidR="00CB2877" w:rsidRPr="00A034CB" w:rsidRDefault="00CB2877" w:rsidP="00FF5CBF">
      <w:pPr>
        <w:pStyle w:val="BodyText"/>
        <w:numPr>
          <w:ilvl w:val="1"/>
          <w:numId w:val="18"/>
        </w:numPr>
        <w:snapToGrid w:val="0"/>
        <w:spacing w:before="120" w:after="0" w:line="288" w:lineRule="auto"/>
        <w:jc w:val="left"/>
      </w:pPr>
      <w:r w:rsidRPr="00A034CB">
        <w:t>A public road is no longer available or able to provide legal access to the property; or</w:t>
      </w:r>
    </w:p>
    <w:p w14:paraId="0BBF0A40" w14:textId="77777777" w:rsidR="00CB2877" w:rsidRPr="00A034CB" w:rsidRDefault="00CB2877" w:rsidP="00FF5CBF">
      <w:pPr>
        <w:pStyle w:val="BodyText"/>
        <w:numPr>
          <w:ilvl w:val="1"/>
          <w:numId w:val="18"/>
        </w:numPr>
        <w:snapToGrid w:val="0"/>
        <w:spacing w:before="120" w:after="0" w:line="288" w:lineRule="auto"/>
        <w:jc w:val="left"/>
      </w:pPr>
      <w:r w:rsidRPr="00A034CB">
        <w:t>Water, sewerage or electricity to the lot is no longer available due to coastal hazards.</w:t>
      </w:r>
    </w:p>
    <w:p w14:paraId="3AF8EE73" w14:textId="77777777" w:rsidR="00CB2877" w:rsidRPr="00A034CB" w:rsidRDefault="00CB2877" w:rsidP="00FF5CBF">
      <w:pPr>
        <w:pStyle w:val="BodyText"/>
        <w:numPr>
          <w:ilvl w:val="0"/>
          <w:numId w:val="18"/>
        </w:numPr>
        <w:snapToGrid w:val="0"/>
        <w:spacing w:before="120" w:after="0" w:line="288" w:lineRule="auto"/>
        <w:jc w:val="left"/>
      </w:pPr>
      <w:r w:rsidRPr="00A034CB">
        <w:t>Any development approval granted in respect to Condition 1 shall require the land to be rehabilitated to its pre-development condition, once the development has been removed. The land shall be rehabilitated to the specifications and satisfaction of the Local Government, at the landowners cost.</w:t>
      </w:r>
    </w:p>
    <w:p w14:paraId="7AE08A44" w14:textId="77777777" w:rsidR="00CB2877" w:rsidRPr="00A034CB" w:rsidRDefault="00CB2877" w:rsidP="00FF5CBF">
      <w:pPr>
        <w:pStyle w:val="BodyText"/>
        <w:numPr>
          <w:ilvl w:val="0"/>
          <w:numId w:val="18"/>
        </w:numPr>
        <w:snapToGrid w:val="0"/>
        <w:spacing w:before="120" w:after="0" w:line="288" w:lineRule="auto"/>
        <w:jc w:val="left"/>
      </w:pPr>
      <w:r w:rsidRPr="00A034CB">
        <w:t xml:space="preserve">A notification, pursuant to Section 70A of the Transfer of Land Act 1893 is to be placed on the Certificate of Title of the proposed development lot advising of the existence of a </w:t>
      </w:r>
      <w:r>
        <w:t xml:space="preserve">coastal </w:t>
      </w:r>
      <w:r w:rsidRPr="00A034CB">
        <w:t>hazard. The notification is to state as follows:</w:t>
      </w:r>
    </w:p>
    <w:p w14:paraId="13254067" w14:textId="77777777" w:rsidR="00CB2877" w:rsidRPr="00E93A69" w:rsidRDefault="00CB2877" w:rsidP="00CB2877">
      <w:pPr>
        <w:pStyle w:val="BodyText"/>
        <w:rPr>
          <w:rFonts w:cstheme="minorHAnsi"/>
          <w:i/>
          <w:iCs/>
        </w:rPr>
      </w:pPr>
      <w:r w:rsidRPr="00E93A69">
        <w:rPr>
          <w:rFonts w:cstheme="minorHAnsi"/>
          <w:i/>
          <w:iCs/>
        </w:rPr>
        <w:t>‘Vulnerable coastal area - This lot is located in an area likely to be subject to coastal erosion and inundation over the next 100 years and is subject to conditions of development approval which requires removal and/or rehabilitation of development to pre-development conditions if the time limit specified on the development approval is reached or any one of the following events occurs:</w:t>
      </w:r>
    </w:p>
    <w:p w14:paraId="17245FE6" w14:textId="77777777" w:rsidR="00CB2877" w:rsidRPr="00E93A69" w:rsidRDefault="00CB2877" w:rsidP="00FF5CBF">
      <w:pPr>
        <w:pStyle w:val="BodyText"/>
        <w:numPr>
          <w:ilvl w:val="0"/>
          <w:numId w:val="39"/>
        </w:numPr>
        <w:snapToGrid w:val="0"/>
        <w:spacing w:before="120" w:after="0" w:line="288" w:lineRule="auto"/>
        <w:jc w:val="left"/>
        <w:rPr>
          <w:rFonts w:cstheme="minorHAnsi"/>
          <w:i/>
          <w:iCs/>
        </w:rPr>
      </w:pPr>
      <w:r w:rsidRPr="00E93A69">
        <w:rPr>
          <w:rFonts w:cstheme="minorHAnsi"/>
          <w:i/>
          <w:iCs/>
        </w:rPr>
        <w:t>the most landward part of the Horizontal Shoreline Datum being within [insert here the distance equivalent of the S1 Erosion Allowance (allowance for the current risk of erosion) for the subject lot as per the Princess Royal Harbour Coastal Hazard Risk Management Adaptation Plan as amended from time to time] metres of the most seaward part of the habitable building;</w:t>
      </w:r>
    </w:p>
    <w:p w14:paraId="697FC209" w14:textId="77777777" w:rsidR="00CB2877" w:rsidRPr="00E93A69" w:rsidRDefault="00CB2877" w:rsidP="00FF5CBF">
      <w:pPr>
        <w:pStyle w:val="BodyText"/>
        <w:numPr>
          <w:ilvl w:val="0"/>
          <w:numId w:val="39"/>
        </w:numPr>
        <w:snapToGrid w:val="0"/>
        <w:spacing w:before="120" w:after="0" w:line="288" w:lineRule="auto"/>
        <w:jc w:val="left"/>
        <w:rPr>
          <w:rFonts w:cstheme="minorHAnsi"/>
          <w:i/>
          <w:iCs/>
        </w:rPr>
      </w:pPr>
      <w:r w:rsidRPr="00E93A69">
        <w:rPr>
          <w:rFonts w:cstheme="minorHAnsi"/>
          <w:i/>
          <w:iCs/>
        </w:rPr>
        <w:t>a public road no longer being available or able to provide legal access to the property;</w:t>
      </w:r>
    </w:p>
    <w:p w14:paraId="6543B80C" w14:textId="77777777" w:rsidR="00CB2877" w:rsidRPr="00E93A69" w:rsidRDefault="00CB2877" w:rsidP="00FF5CBF">
      <w:pPr>
        <w:pStyle w:val="BodyText"/>
        <w:numPr>
          <w:ilvl w:val="0"/>
          <w:numId w:val="39"/>
        </w:numPr>
        <w:snapToGrid w:val="0"/>
        <w:spacing w:before="120" w:after="0" w:line="288" w:lineRule="auto"/>
        <w:jc w:val="left"/>
        <w:rPr>
          <w:rFonts w:cstheme="minorHAnsi"/>
          <w:i/>
          <w:iCs/>
        </w:rPr>
      </w:pPr>
      <w:r w:rsidRPr="00E93A69">
        <w:rPr>
          <w:rFonts w:cstheme="minorHAnsi"/>
          <w:i/>
          <w:iCs/>
        </w:rPr>
        <w:t xml:space="preserve">when water, sewerage or electricity to the lot is no longer available as they have been removed/decommissioned by the relevant authority due to coastal hazards </w:t>
      </w:r>
      <w:r w:rsidRPr="00E93A69">
        <w:rPr>
          <w:rFonts w:cstheme="minorHAnsi"/>
          <w:i/>
          <w:iCs/>
          <w:lang w:val="en-GB"/>
        </w:rPr>
        <w:t>or in the case where on-site effluent disposal systems exist, the minimum separation to ground water cannot be maintained.</w:t>
      </w:r>
      <w:r w:rsidRPr="00E93A69">
        <w:rPr>
          <w:rFonts w:cstheme="minorHAnsi"/>
          <w:i/>
          <w:iCs/>
        </w:rPr>
        <w:t>'</w:t>
      </w:r>
    </w:p>
    <w:p w14:paraId="71F889F6" w14:textId="77777777" w:rsidR="00CB2877" w:rsidRPr="00A034CB" w:rsidRDefault="00CB2877" w:rsidP="00CB2877">
      <w:pPr>
        <w:pStyle w:val="BodyText"/>
        <w:rPr>
          <w:u w:val="single"/>
        </w:rPr>
      </w:pPr>
      <w:r w:rsidRPr="00A034CB">
        <w:rPr>
          <w:u w:val="single"/>
        </w:rPr>
        <w:t>Advice Notes:</w:t>
      </w:r>
    </w:p>
    <w:p w14:paraId="66D187E5" w14:textId="77777777" w:rsidR="00CB2877" w:rsidRPr="00995C0E" w:rsidRDefault="00CB2877" w:rsidP="00FF5CBF">
      <w:pPr>
        <w:pStyle w:val="BodyText"/>
        <w:numPr>
          <w:ilvl w:val="0"/>
          <w:numId w:val="40"/>
        </w:numPr>
        <w:snapToGrid w:val="0"/>
        <w:spacing w:before="120" w:after="0" w:line="288" w:lineRule="auto"/>
        <w:jc w:val="left"/>
      </w:pPr>
      <w:r w:rsidRPr="00A034CB">
        <w:lastRenderedPageBreak/>
        <w:t>The applicant is advised that the Horizontal Shoreline Datum means the active limit of the shoreline under storm activity, as defined in State Planning Policy 2.6 – State Coastal Planning Policy.</w:t>
      </w:r>
    </w:p>
    <w:p w14:paraId="3626B446" w14:textId="77777777" w:rsidR="00FD05F6" w:rsidRDefault="00FD05F6" w:rsidP="00FD05F6">
      <w:pPr>
        <w:pStyle w:val="Heading4"/>
      </w:pPr>
      <w:bookmarkStart w:id="268" w:name="_Toc162518702"/>
      <w:r>
        <w:t>Online Mapping Tool</w:t>
      </w:r>
      <w:bookmarkEnd w:id="268"/>
    </w:p>
    <w:p w14:paraId="195B9BD1" w14:textId="77777777" w:rsidR="00CB2877" w:rsidRDefault="00CB2877" w:rsidP="00CB2877">
      <w:pPr>
        <w:pStyle w:val="BodyText"/>
      </w:pPr>
      <w:r>
        <w:t xml:space="preserve">The erosion and inundation hazard data provided in the CHRMAP should be included on the City’s online mapping tool. This will ensure staff and the community have access to information on any affected land and how the adaptation measures may impact on future development. </w:t>
      </w:r>
    </w:p>
    <w:p w14:paraId="6A754EC8" w14:textId="77777777" w:rsidR="00CB2877" w:rsidRPr="009535D0" w:rsidRDefault="00CB2877" w:rsidP="00CB2877">
      <w:pPr>
        <w:pStyle w:val="BodyText"/>
      </w:pPr>
      <w:r>
        <w:t>Information on relevant coastal hazards and the implications for property, now and into the future, should also be made available to potential buyers upon making a land purchase enquiry.</w:t>
      </w:r>
    </w:p>
    <w:p w14:paraId="5A5C4C1C" w14:textId="77777777" w:rsidR="00FD05F6" w:rsidRDefault="00FD05F6" w:rsidP="00FD05F6">
      <w:pPr>
        <w:pStyle w:val="Heading4"/>
      </w:pPr>
      <w:bookmarkStart w:id="269" w:name="_Toc162518703"/>
      <w:r>
        <w:t>Foreshore Management Plans</w:t>
      </w:r>
      <w:bookmarkEnd w:id="269"/>
    </w:p>
    <w:p w14:paraId="65B9BB88" w14:textId="77777777" w:rsidR="00CB2877" w:rsidRDefault="00CB2877" w:rsidP="00CB2877">
      <w:pPr>
        <w:pStyle w:val="BodyText"/>
      </w:pPr>
      <w:r>
        <w:t xml:space="preserve">Foreshore management plans can provide a strategy to deliver the recommendations of this CHRMAP for particular foreshore reserves throughout the City. Foreshore management plans can be a key tool for communication and engagement with the community as they include detailed planning for community places and facilities. </w:t>
      </w:r>
    </w:p>
    <w:p w14:paraId="215C43F3" w14:textId="77777777" w:rsidR="00CB2877" w:rsidRPr="00995C0E" w:rsidRDefault="00CB2877" w:rsidP="00CB2877">
      <w:pPr>
        <w:pStyle w:val="BodyText"/>
      </w:pPr>
      <w:r>
        <w:t xml:space="preserve">The City should prepare a foreshore management plan for PRH to provide guidance for the ongoing management of foreshore reserves, monitoring of assets and the triggers for the managed retreat of public assets and infrastructure at risk of erosion. </w:t>
      </w:r>
    </w:p>
    <w:p w14:paraId="1449C89B" w14:textId="77777777" w:rsidR="00FD05F6" w:rsidRDefault="00FD05F6" w:rsidP="00FD05F6">
      <w:pPr>
        <w:pStyle w:val="Heading4"/>
      </w:pPr>
      <w:bookmarkStart w:id="270" w:name="_Toc162518704"/>
      <w:r>
        <w:t>Emergency Response and Evacuation</w:t>
      </w:r>
      <w:bookmarkEnd w:id="270"/>
    </w:p>
    <w:p w14:paraId="1118B93B" w14:textId="77777777" w:rsidR="00CB2877" w:rsidRPr="00471197" w:rsidRDefault="00CB2877" w:rsidP="00CB2877">
      <w:pPr>
        <w:pStyle w:val="BodyText"/>
        <w:rPr>
          <w:lang w:val="en-GB"/>
        </w:rPr>
      </w:pPr>
      <w:r w:rsidRPr="00471197">
        <w:rPr>
          <w:lang w:val="en-GB"/>
        </w:rPr>
        <w:t xml:space="preserve">In accordance with </w:t>
      </w:r>
      <w:r w:rsidRPr="00E93A69">
        <w:rPr>
          <w:rFonts w:cstheme="minorHAnsi"/>
          <w:lang w:val="en-GB"/>
        </w:rPr>
        <w:t xml:space="preserve">the </w:t>
      </w:r>
      <w:r w:rsidRPr="00E93A69">
        <w:rPr>
          <w:rFonts w:cstheme="minorHAnsi"/>
          <w:i/>
          <w:iCs/>
          <w:lang w:val="en-GB"/>
        </w:rPr>
        <w:t>Emergency Management Act 2005</w:t>
      </w:r>
      <w:r w:rsidRPr="00E93A69">
        <w:rPr>
          <w:rFonts w:cstheme="minorHAnsi"/>
          <w:lang w:val="en-GB"/>
        </w:rPr>
        <w:t>, the City</w:t>
      </w:r>
      <w:r w:rsidRPr="00471197">
        <w:rPr>
          <w:lang w:val="en-GB"/>
        </w:rPr>
        <w:t xml:space="preserve"> is responsible for assisting the community in preparing, preventing, responding and recovering from various emergencies. The City’s Local Emergency Management Committee (LEMC) has prepared a Local Emergency Management Arrangement (LEMA) which includes useful information in relation to emergency preparation and response</w:t>
      </w:r>
      <w:r>
        <w:rPr>
          <w:lang w:val="en-GB"/>
        </w:rPr>
        <w:t xml:space="preserve"> to coastal hazards.</w:t>
      </w:r>
    </w:p>
    <w:p w14:paraId="49926AD1" w14:textId="7C86D616" w:rsidR="00CB2877" w:rsidRPr="00CB2877" w:rsidRDefault="00CB2877" w:rsidP="00CB2877">
      <w:pPr>
        <w:pStyle w:val="BodyText"/>
      </w:pPr>
      <w:r w:rsidRPr="00471197">
        <w:rPr>
          <w:lang w:val="en-GB"/>
        </w:rPr>
        <w:t>The LEMA should be reviewed in conjunction with this CHRMAP to ensure areas identified as being at risk have arrangements in place to assist with emergency response and recovery.</w:t>
      </w:r>
    </w:p>
    <w:p w14:paraId="59614B0A" w14:textId="6506FE04" w:rsidR="00A435F7" w:rsidRDefault="00A435F7" w:rsidP="00FD05F6">
      <w:pPr>
        <w:pStyle w:val="Heading2"/>
      </w:pPr>
      <w:bookmarkStart w:id="271" w:name="_Toc164421007"/>
      <w:r>
        <w:t>Funding Options</w:t>
      </w:r>
      <w:bookmarkEnd w:id="271"/>
    </w:p>
    <w:p w14:paraId="45C4FA85" w14:textId="77777777" w:rsidR="00CB2877" w:rsidRDefault="00CB2877" w:rsidP="00CB2877">
      <w:pPr>
        <w:pStyle w:val="BodyText"/>
      </w:pPr>
      <w:r>
        <w:rPr>
          <w:lang w:eastAsia="en-US"/>
        </w:rPr>
        <w:t xml:space="preserve">This section identifies </w:t>
      </w:r>
      <w:r w:rsidRPr="006A1E24">
        <w:t xml:space="preserve">all </w:t>
      </w:r>
      <w:r>
        <w:t xml:space="preserve">known </w:t>
      </w:r>
      <w:r w:rsidRPr="006A1E24">
        <w:t>revenue-raising mechanisms available for obtaining funds to assist implementation</w:t>
      </w:r>
      <w:r>
        <w:t xml:space="preserve">. </w:t>
      </w:r>
      <w:r>
        <w:rPr>
          <w:lang w:eastAsia="en-US"/>
        </w:rPr>
        <w:t>F</w:t>
      </w:r>
      <w:r>
        <w:t>unding mechanisms considered include:</w:t>
      </w:r>
    </w:p>
    <w:p w14:paraId="30CB8D7E" w14:textId="755FF1A2" w:rsidR="00CB2877" w:rsidRDefault="00CB2877" w:rsidP="00A97817">
      <w:pPr>
        <w:pStyle w:val="ListBullet0"/>
        <w:numPr>
          <w:ilvl w:val="0"/>
          <w:numId w:val="60"/>
        </w:numPr>
      </w:pPr>
      <w:r>
        <w:t>Local Government</w:t>
      </w:r>
      <w:r w:rsidR="002535D8">
        <w:t>:</w:t>
      </w:r>
      <w:r>
        <w:t xml:space="preserve"> </w:t>
      </w:r>
    </w:p>
    <w:p w14:paraId="0BFFF810" w14:textId="77777777" w:rsidR="00CB2877" w:rsidRDefault="00CB2877" w:rsidP="00FF5CBF">
      <w:pPr>
        <w:pStyle w:val="ListBullet0"/>
        <w:numPr>
          <w:ilvl w:val="1"/>
          <w:numId w:val="44"/>
        </w:numPr>
      </w:pPr>
      <w:r>
        <w:t>Operating budget, general rates and coastal management fund,</w:t>
      </w:r>
    </w:p>
    <w:p w14:paraId="75DC36C1" w14:textId="77777777" w:rsidR="00CB2877" w:rsidRDefault="00CB2877" w:rsidP="00FF5CBF">
      <w:pPr>
        <w:pStyle w:val="ListBullet0"/>
        <w:numPr>
          <w:ilvl w:val="1"/>
          <w:numId w:val="44"/>
        </w:numPr>
      </w:pPr>
      <w:r>
        <w:t>Special area rates / differential rating,</w:t>
      </w:r>
    </w:p>
    <w:p w14:paraId="1C2D8C1E" w14:textId="77777777" w:rsidR="00CB2877" w:rsidRDefault="00CB2877" w:rsidP="00FF5CBF">
      <w:pPr>
        <w:pStyle w:val="ListBullet0"/>
        <w:numPr>
          <w:ilvl w:val="1"/>
          <w:numId w:val="44"/>
        </w:numPr>
      </w:pPr>
      <w:r>
        <w:t>Levies,</w:t>
      </w:r>
    </w:p>
    <w:p w14:paraId="1A651412" w14:textId="77777777" w:rsidR="00CB2877" w:rsidRDefault="00CB2877" w:rsidP="00FF5CBF">
      <w:pPr>
        <w:pStyle w:val="ListBullet0"/>
        <w:numPr>
          <w:ilvl w:val="1"/>
          <w:numId w:val="44"/>
        </w:numPr>
      </w:pPr>
      <w:r>
        <w:t>Lease land management,</w:t>
      </w:r>
    </w:p>
    <w:p w14:paraId="32BFC0B8" w14:textId="77777777" w:rsidR="00CB2877" w:rsidRDefault="00CB2877" w:rsidP="00A97817">
      <w:pPr>
        <w:pStyle w:val="ListBullet0"/>
        <w:numPr>
          <w:ilvl w:val="0"/>
          <w:numId w:val="60"/>
        </w:numPr>
      </w:pPr>
      <w:r>
        <w:t>State Government grants, and</w:t>
      </w:r>
    </w:p>
    <w:p w14:paraId="015125F2" w14:textId="77777777" w:rsidR="00CB2877" w:rsidRDefault="00CB2877" w:rsidP="00A97817">
      <w:pPr>
        <w:pStyle w:val="ListBullet0"/>
        <w:numPr>
          <w:ilvl w:val="0"/>
          <w:numId w:val="60"/>
        </w:numPr>
      </w:pPr>
      <w:r>
        <w:t>Federal Government grants, and</w:t>
      </w:r>
    </w:p>
    <w:p w14:paraId="212952E3" w14:textId="77777777" w:rsidR="00CB2877" w:rsidRDefault="00CB2877" w:rsidP="00A97817">
      <w:pPr>
        <w:pStyle w:val="ListBullet0"/>
        <w:numPr>
          <w:ilvl w:val="0"/>
          <w:numId w:val="60"/>
        </w:numPr>
      </w:pPr>
      <w:r>
        <w:t>Beneficiary Pays.</w:t>
      </w:r>
    </w:p>
    <w:p w14:paraId="1BFAF58A" w14:textId="77777777" w:rsidR="00FD05F6" w:rsidRDefault="00FD05F6" w:rsidP="00FD05F6">
      <w:pPr>
        <w:pStyle w:val="Heading3"/>
      </w:pPr>
      <w:bookmarkStart w:id="272" w:name="_Toc130312528"/>
      <w:bookmarkStart w:id="273" w:name="_Toc162518706"/>
      <w:bookmarkStart w:id="274" w:name="_Toc164421008"/>
      <w:r>
        <w:lastRenderedPageBreak/>
        <w:t>Operating Budget, General Rates and Coastal Management Fund</w:t>
      </w:r>
      <w:bookmarkEnd w:id="272"/>
      <w:bookmarkEnd w:id="273"/>
      <w:bookmarkEnd w:id="274"/>
    </w:p>
    <w:p w14:paraId="088E7264" w14:textId="77777777" w:rsidR="00CB2877" w:rsidRDefault="00CB2877" w:rsidP="00CB2877">
      <w:pPr>
        <w:pStyle w:val="BodyText"/>
      </w:pPr>
      <w:r>
        <w:t>The individual land managers within the study area should consider establishing a coastal management fund that includes specific allowance for managing and adapting to the risk posed by coastal erosion and inundation. The purpose of this fund includes:</w:t>
      </w:r>
    </w:p>
    <w:p w14:paraId="5BC717C8" w14:textId="77777777" w:rsidR="00CB2877" w:rsidRDefault="00CB2877" w:rsidP="00A97817">
      <w:pPr>
        <w:pStyle w:val="ListBullet0"/>
        <w:numPr>
          <w:ilvl w:val="0"/>
          <w:numId w:val="60"/>
        </w:numPr>
      </w:pPr>
      <w:r>
        <w:t>To allocate a percentage of the organisation’s operating budget for coastal management. The percentage and amounts will vary for each organisation but between 0.5% and 3.0% is proposed.</w:t>
      </w:r>
    </w:p>
    <w:p w14:paraId="7FE828FF" w14:textId="77777777" w:rsidR="00CB2877" w:rsidRDefault="00CB2877" w:rsidP="00A97817">
      <w:pPr>
        <w:pStyle w:val="ListBullet0"/>
        <w:numPr>
          <w:ilvl w:val="0"/>
          <w:numId w:val="60"/>
        </w:numPr>
      </w:pPr>
      <w:r>
        <w:t>To save funds routinely so that when triggers are met the established management actions can be implemented efficiently.</w:t>
      </w:r>
    </w:p>
    <w:p w14:paraId="68330688" w14:textId="0879BA92" w:rsidR="00CB2877" w:rsidRPr="00CB2877" w:rsidRDefault="00CB2877" w:rsidP="00A97817">
      <w:pPr>
        <w:pStyle w:val="ListBullet0"/>
        <w:numPr>
          <w:ilvl w:val="0"/>
          <w:numId w:val="60"/>
        </w:numPr>
      </w:pPr>
      <w:r>
        <w:t>Acknowledge coastal management costs are forecast to increase in line with sea level rise and the realisation of coastal hazard projections.</w:t>
      </w:r>
    </w:p>
    <w:p w14:paraId="191E9268" w14:textId="77777777" w:rsidR="00FD05F6" w:rsidRDefault="00FD05F6" w:rsidP="00FD05F6">
      <w:pPr>
        <w:pStyle w:val="Heading3"/>
      </w:pPr>
      <w:bookmarkStart w:id="275" w:name="_Toc130312529"/>
      <w:bookmarkStart w:id="276" w:name="_Toc162518707"/>
      <w:bookmarkStart w:id="277" w:name="_Toc164421009"/>
      <w:r>
        <w:t>Specified Area Rate</w:t>
      </w:r>
      <w:bookmarkEnd w:id="275"/>
      <w:bookmarkEnd w:id="276"/>
      <w:bookmarkEnd w:id="277"/>
    </w:p>
    <w:p w14:paraId="23089323" w14:textId="77777777" w:rsidR="00CB2877" w:rsidRPr="0076148E" w:rsidRDefault="00CB2877" w:rsidP="00CB2877">
      <w:pPr>
        <w:pStyle w:val="BodyText"/>
      </w:pPr>
      <w:r>
        <w:t>Where adaptation options are designed to protect specific sections of coastal land and assets, such as private property, it is recommended that the City progress the establishment of a specified area rate in line with the outcomes of benefit distribution analysis. The rate can be applied to those beneficiaries within the 100-year hazard zone, and the amount raised should consider the estimated 100-year cost for each option.</w:t>
      </w:r>
    </w:p>
    <w:p w14:paraId="0176D3B2" w14:textId="357A42E2" w:rsidR="00FD05F6" w:rsidRDefault="00FD05F6" w:rsidP="00FD05F6">
      <w:pPr>
        <w:pStyle w:val="Heading3"/>
      </w:pPr>
      <w:bookmarkStart w:id="278" w:name="_Toc130312530"/>
      <w:bookmarkStart w:id="279" w:name="_Toc162518708"/>
      <w:bookmarkStart w:id="280" w:name="_Toc164421010"/>
      <w:r>
        <w:t>Levies</w:t>
      </w:r>
      <w:bookmarkEnd w:id="278"/>
      <w:bookmarkEnd w:id="279"/>
      <w:bookmarkEnd w:id="280"/>
    </w:p>
    <w:p w14:paraId="3B12FACE" w14:textId="77777777" w:rsidR="00CB2877" w:rsidRDefault="00CB2877" w:rsidP="00CB2877">
      <w:pPr>
        <w:pStyle w:val="BodyText"/>
      </w:pPr>
      <w:r>
        <w:t>It is recommended the City investigate the feasibility of establishing a particular levy for coastal management that would be a transparent source of the coastal management fund discussed above.</w:t>
      </w:r>
    </w:p>
    <w:p w14:paraId="1DCE17C1" w14:textId="77777777" w:rsidR="00FD05F6" w:rsidRDefault="00FD05F6" w:rsidP="00FD05F6">
      <w:pPr>
        <w:pStyle w:val="Heading3"/>
      </w:pPr>
      <w:bookmarkStart w:id="281" w:name="_Toc130312531"/>
      <w:bookmarkStart w:id="282" w:name="_Toc162518709"/>
      <w:bookmarkStart w:id="283" w:name="_Toc164421011"/>
      <w:r>
        <w:t>Lease Land Management</w:t>
      </w:r>
      <w:bookmarkEnd w:id="281"/>
      <w:bookmarkEnd w:id="282"/>
      <w:bookmarkEnd w:id="283"/>
    </w:p>
    <w:p w14:paraId="3BEC1D2B" w14:textId="77777777" w:rsidR="00CB2877" w:rsidRPr="00FB228F" w:rsidRDefault="00CB2877" w:rsidP="00CB2877">
      <w:pPr>
        <w:pStyle w:val="BodyText"/>
      </w:pPr>
      <w:r>
        <w:t xml:space="preserve">Coastal land vested with coastal managers in the study area and leased to third parties represents a unique scenario whereby implementation of some Options may require specific lease clauses, but there is also potential to raise funds for coastal management. During considerations of lease renewal, coastal managers should consider the land use, vulnerability of the land, projected timeframe of unacceptable vulnerability, length of lease, recommended implementation options and need for any specific clause around triggers or required management actions by the lessee. Increases in lease amounts may be able to raise funds to help offset the cost of management. </w:t>
      </w:r>
    </w:p>
    <w:p w14:paraId="5D781DE3" w14:textId="54FD93C9" w:rsidR="00FD05F6" w:rsidRDefault="00FD05F6" w:rsidP="00FD05F6">
      <w:pPr>
        <w:pStyle w:val="Heading3"/>
      </w:pPr>
      <w:bookmarkStart w:id="284" w:name="_Toc130312532"/>
      <w:bookmarkStart w:id="285" w:name="_Toc162518710"/>
      <w:bookmarkStart w:id="286" w:name="_Toc164421012"/>
      <w:r>
        <w:t xml:space="preserve">State Grants </w:t>
      </w:r>
      <w:r w:rsidR="00CB2877">
        <w:t>–</w:t>
      </w:r>
      <w:r>
        <w:t xml:space="preserve"> CoastWA</w:t>
      </w:r>
      <w:bookmarkEnd w:id="284"/>
      <w:bookmarkEnd w:id="285"/>
      <w:bookmarkEnd w:id="286"/>
    </w:p>
    <w:p w14:paraId="1F1B72E5" w14:textId="77777777" w:rsidR="00CB2877" w:rsidRDefault="00CB2877" w:rsidP="00CB2877">
      <w:pPr>
        <w:pStyle w:val="BodyText"/>
      </w:pPr>
      <w:r>
        <w:t xml:space="preserve">CoastWA aims to implement a strategic response to the growing impacts of coastal hazards to ensure sustainable land use and development on the coast for the long-term. CoastWA has committed $33.5 million of funding over five years from 2021-26. For further information visit </w:t>
      </w:r>
      <w:hyperlink r:id="rId60">
        <w:r w:rsidRPr="50242C18">
          <w:rPr>
            <w:rStyle w:val="Hyperlink"/>
          </w:rPr>
          <w:t>https://www.wa.gov.au/government/document-collections/coastwa-grants</w:t>
        </w:r>
      </w:hyperlink>
      <w:r>
        <w:t xml:space="preserve"> . It comprises the following grant programs:</w:t>
      </w:r>
    </w:p>
    <w:p w14:paraId="7B136BBE" w14:textId="77777777" w:rsidR="00CB2877" w:rsidRDefault="00CB2877" w:rsidP="00A97817">
      <w:pPr>
        <w:pStyle w:val="ListBullet0"/>
        <w:numPr>
          <w:ilvl w:val="0"/>
          <w:numId w:val="60"/>
        </w:numPr>
      </w:pPr>
      <w:r>
        <w:t>Coastal Adaptation and Protection grants,</w:t>
      </w:r>
    </w:p>
    <w:p w14:paraId="33194CD6" w14:textId="77777777" w:rsidR="00CB2877" w:rsidRDefault="00CB2877" w:rsidP="00A97817">
      <w:pPr>
        <w:pStyle w:val="ListBullet0"/>
        <w:numPr>
          <w:ilvl w:val="0"/>
          <w:numId w:val="60"/>
        </w:numPr>
      </w:pPr>
      <w:r>
        <w:t>Hotspot Coastal Adaptation and Protection Major Project Fund,</w:t>
      </w:r>
    </w:p>
    <w:p w14:paraId="6CA58E79" w14:textId="77777777" w:rsidR="00CB2877" w:rsidRDefault="00CB2877" w:rsidP="00A97817">
      <w:pPr>
        <w:pStyle w:val="ListBullet0"/>
        <w:numPr>
          <w:ilvl w:val="0"/>
          <w:numId w:val="60"/>
        </w:numPr>
      </w:pPr>
      <w:r>
        <w:t>Coastwest grants,</w:t>
      </w:r>
    </w:p>
    <w:p w14:paraId="2657A4E8" w14:textId="77777777" w:rsidR="00CB2877" w:rsidRDefault="00CB2877" w:rsidP="00A97817">
      <w:pPr>
        <w:pStyle w:val="ListBullet0"/>
        <w:numPr>
          <w:ilvl w:val="0"/>
          <w:numId w:val="60"/>
        </w:numPr>
      </w:pPr>
      <w:r>
        <w:t>Coastal Management Plan Assistance Program.</w:t>
      </w:r>
    </w:p>
    <w:p w14:paraId="0B5E0FF5" w14:textId="77777777" w:rsidR="00CB2877" w:rsidRDefault="00CB2877" w:rsidP="002535D8">
      <w:pPr>
        <w:pStyle w:val="BodyText"/>
      </w:pPr>
      <w:r>
        <w:t>There are also two other grant programs relevant to coastal hazard risk management in WA:</w:t>
      </w:r>
    </w:p>
    <w:p w14:paraId="3296DBE8" w14:textId="77777777" w:rsidR="00CB2877" w:rsidRDefault="00CB2877" w:rsidP="00A97817">
      <w:pPr>
        <w:pStyle w:val="ListBullet0"/>
        <w:numPr>
          <w:ilvl w:val="0"/>
          <w:numId w:val="60"/>
        </w:numPr>
      </w:pPr>
      <w:r>
        <w:t>Royalties for Regions,</w:t>
      </w:r>
    </w:p>
    <w:p w14:paraId="607F2C12" w14:textId="77777777" w:rsidR="00CB2877" w:rsidRDefault="00CB2877" w:rsidP="00A97817">
      <w:pPr>
        <w:pStyle w:val="ListBullet0"/>
        <w:numPr>
          <w:ilvl w:val="0"/>
          <w:numId w:val="60"/>
        </w:numPr>
      </w:pPr>
      <w:r>
        <w:t>Local Government Financial Assistance Grants.</w:t>
      </w:r>
    </w:p>
    <w:p w14:paraId="09CA91BF" w14:textId="77777777" w:rsidR="00CB2877" w:rsidRPr="00916F79" w:rsidRDefault="00CB2877" w:rsidP="00CB2877">
      <w:pPr>
        <w:pStyle w:val="BodyText"/>
      </w:pPr>
      <w:r>
        <w:lastRenderedPageBreak/>
        <w:t xml:space="preserve">The Department of Transport administers the Coastal Adaptation and Protection (CAP) grants and the Hotspot Coastal Adaptation and Protection (H-CAP) Major Project Fund. CAP grants provide financial assistance for local projects that identify and manage coastal hazards. The program aims to build partnerships with local coastal managers, such as local governments and help them understand and adapt to coastal hazards. CAP Grants fund up to 50% of project costs. H-CAP supports projects which design and implement adaptation Options at coastal erosion hotpots identified by the DoT in recent years. Invitations to apply for H-CAP are sent directly to eligible coastal managers - those with a completed CHRMAP and an identified erosion hotspot. The Princess Royal Harbour does not contain any formally recorded DoT coastal erosion hotspots. </w:t>
      </w:r>
    </w:p>
    <w:p w14:paraId="3B4612BF" w14:textId="77777777" w:rsidR="00CB2877" w:rsidRDefault="00CB2877" w:rsidP="00CB2877">
      <w:pPr>
        <w:pStyle w:val="BodyText"/>
      </w:pPr>
      <w:r>
        <w:t>Coastwest grants support eligible coastal land managers and community organisations to undertake projects that manage and enhance WA’s coastal environments through rehabilitation, restoration and preventative actions. Coastwest grants are administered by the Department of Planning, Lands and Heritage on behalf of the WAPC.</w:t>
      </w:r>
    </w:p>
    <w:p w14:paraId="0A49F25F" w14:textId="77777777" w:rsidR="00CB2877" w:rsidRDefault="00CB2877" w:rsidP="00CB2877">
      <w:pPr>
        <w:pStyle w:val="BodyText"/>
      </w:pPr>
      <w:r>
        <w:t>Coastal Management Plan Assistance Program (CMPAP) grants support eligible coastal land managers to develop and implement adaptation and management plans and strategies for coastal areas that are, or are predicted to become, under pressure from a variety of challenges. CMPAP grants are administered by the Department of Planning, Lands and Heritage on behalf of the WAPC.</w:t>
      </w:r>
    </w:p>
    <w:p w14:paraId="51E3D6D7" w14:textId="77777777" w:rsidR="00CB2877" w:rsidRDefault="00CB2877" w:rsidP="00CB2877">
      <w:pPr>
        <w:pStyle w:val="BodyText"/>
      </w:pPr>
      <w:r>
        <w:t>Other WA grant programs which may provide funding for coastal projects include Royalties for Regions and Local Government Financial Assistance Grants.</w:t>
      </w:r>
    </w:p>
    <w:p w14:paraId="2CB5D604" w14:textId="77777777" w:rsidR="00CB2877" w:rsidRDefault="00CB2877" w:rsidP="00CB2877">
      <w:pPr>
        <w:pStyle w:val="BodyText"/>
      </w:pPr>
      <w:r>
        <w:t xml:space="preserve">Royalties for Regions is facilitated by Department of Primary Industries and Regional Development and promotes and facilitates economic, business and social development in regional Western Australia for the benefit of all Western Australians. For further information visit: </w:t>
      </w:r>
      <w:r w:rsidRPr="00035472">
        <w:t>https://www.wa.gov.au/organisation/department-of-primary-industries-and-regional-development/royalties-regions</w:t>
      </w:r>
      <w:r>
        <w:t xml:space="preserve"> </w:t>
      </w:r>
    </w:p>
    <w:p w14:paraId="56E01E1C" w14:textId="77777777" w:rsidR="00CB2877" w:rsidRDefault="00CB2877" w:rsidP="00CB2877">
      <w:pPr>
        <w:pStyle w:val="BodyText"/>
      </w:pPr>
      <w:r>
        <w:t xml:space="preserve">Local Government Financial Assistance Grants are administered by the Department of Local Government, Sport and Cultural Industries. They are grants funded by the Commonwealth Government and are distributed among 137 local governments in WA each year. The grants allow councils to spend the funds according to local priorities. For further information visit: </w:t>
      </w:r>
      <w:hyperlink r:id="rId61">
        <w:r w:rsidRPr="25D90110">
          <w:rPr>
            <w:rStyle w:val="Hyperlink"/>
          </w:rPr>
          <w:t>https://www.dlgsc.wa.gov.au/local-government/local-governments/financial-assistance-grants</w:t>
        </w:r>
      </w:hyperlink>
      <w:r>
        <w:t xml:space="preserve"> </w:t>
      </w:r>
    </w:p>
    <w:p w14:paraId="6EEFFD06" w14:textId="77777777" w:rsidR="00CB2877" w:rsidRDefault="00CB2877" w:rsidP="00CB2877">
      <w:pPr>
        <w:pStyle w:val="ListBullet0"/>
      </w:pPr>
      <w:r>
        <w:t>It should be noted that State funding mechanisms require matching cash contributions from the land manager, and as such, funding will still need to be sourced through one or more of the other available measures. State funding grants may also restrict access to funding where public monies would partially or predominantly benefit private landowners or users.</w:t>
      </w:r>
    </w:p>
    <w:p w14:paraId="07CABBC1" w14:textId="77777777" w:rsidR="00CB2877" w:rsidRDefault="00CB2877" w:rsidP="00CB2877">
      <w:pPr>
        <w:pStyle w:val="ListBullet0"/>
      </w:pPr>
      <w:r>
        <w:t>Because coastal hazards and coastal land management will continue to evolve and are unlikely to be resolved by 2026 (beyond the term of the CoastWA Grants), l</w:t>
      </w:r>
      <w:r w:rsidRPr="00782B4E">
        <w:t>ong</w:t>
      </w:r>
      <w:r>
        <w:t>-</w:t>
      </w:r>
      <w:r w:rsidRPr="00782B4E">
        <w:t>term sustainable funding</w:t>
      </w:r>
      <w:r>
        <w:t xml:space="preserve"> is likely to be required from the State.</w:t>
      </w:r>
    </w:p>
    <w:p w14:paraId="581A86F1" w14:textId="77777777" w:rsidR="00FD05F6" w:rsidRDefault="00FD05F6" w:rsidP="00FD05F6">
      <w:pPr>
        <w:pStyle w:val="Heading3"/>
      </w:pPr>
      <w:bookmarkStart w:id="287" w:name="_Toc130312533"/>
      <w:bookmarkStart w:id="288" w:name="_Toc162518711"/>
      <w:bookmarkStart w:id="289" w:name="_Toc164421013"/>
      <w:r>
        <w:t>Federal Grants</w:t>
      </w:r>
      <w:bookmarkEnd w:id="287"/>
      <w:bookmarkEnd w:id="288"/>
      <w:bookmarkEnd w:id="289"/>
    </w:p>
    <w:p w14:paraId="1F756C74" w14:textId="77777777" w:rsidR="00CB2877" w:rsidRDefault="00CB2877" w:rsidP="00CB2877">
      <w:pPr>
        <w:pStyle w:val="BodyText"/>
      </w:pPr>
      <w:r>
        <w:t xml:space="preserve">Federal grants are variable and often unpredictable, but it is important for coastal managers to stay aware of any funding and grant programs available. Early planning and preparation will mean more-competitive applications can be prepared quickly when grants are announced. </w:t>
      </w:r>
    </w:p>
    <w:p w14:paraId="76CE53B6" w14:textId="77777777" w:rsidR="00CB2877" w:rsidRDefault="00CB2877" w:rsidP="00CB2877">
      <w:pPr>
        <w:pStyle w:val="ListBullet0"/>
      </w:pPr>
      <w:r>
        <w:t>It should be noted that Federal funding mechanisms may require matching cash contributions from the land manager, and as such, funding may still need to be sourced through one or more of the other available measures. Federal funding grants may also restrict access to funding where public monies would partially or predominantly benefit private landowners or users.</w:t>
      </w:r>
    </w:p>
    <w:p w14:paraId="646E6873" w14:textId="47A40F93" w:rsidR="00CB2877" w:rsidRDefault="00CB2877" w:rsidP="00CB2877">
      <w:pPr>
        <w:pStyle w:val="BodyText"/>
      </w:pPr>
      <w:r>
        <w:lastRenderedPageBreak/>
        <w:t xml:space="preserve">The Australian Government has established the Disaster Ready Fund which will deliver up to $200 million in funding per financial year for disaster risk reduction and resilience initiatives. Coastal hazards (erosion, inundation, and sea level rise) are an eligible hazard type. The total Australian Government funding is up to $1 billion over five years from 2023-24 to 2027-28, with funding to be matched by the applicants. DRF Round Two opening date is Monday, 22 January 2024. For more information visit </w:t>
      </w:r>
      <w:hyperlink r:id="rId62">
        <w:r w:rsidRPr="1875F9F2">
          <w:rPr>
            <w:rStyle w:val="Hyperlink"/>
          </w:rPr>
          <w:t>Disaster Ready Fund - Round Two | National Emergency Management Agency (nema.gov.au)</w:t>
        </w:r>
      </w:hyperlink>
      <w:r w:rsidRPr="00CB2877">
        <w:rPr>
          <w:rStyle w:val="Hyperlink"/>
          <w:color w:val="auto"/>
          <w:u w:val="none"/>
        </w:rPr>
        <w:t>.</w:t>
      </w:r>
    </w:p>
    <w:p w14:paraId="167502E1" w14:textId="77777777" w:rsidR="005A005B" w:rsidRDefault="005A005B" w:rsidP="005A005B">
      <w:pPr>
        <w:pStyle w:val="Heading3"/>
      </w:pPr>
      <w:bookmarkStart w:id="290" w:name="_Toc130312534"/>
      <w:bookmarkStart w:id="291" w:name="_Toc162518713"/>
      <w:bookmarkStart w:id="292" w:name="_Toc164421014"/>
      <w:r>
        <w:t>Beneficiary (user) Pays</w:t>
      </w:r>
      <w:bookmarkEnd w:id="290"/>
      <w:bookmarkEnd w:id="291"/>
      <w:bookmarkEnd w:id="292"/>
      <w:r>
        <w:t xml:space="preserve"> </w:t>
      </w:r>
    </w:p>
    <w:p w14:paraId="3694A845" w14:textId="77777777" w:rsidR="00CB2877" w:rsidRDefault="00CB2877" w:rsidP="00CB2877">
      <w:pPr>
        <w:pStyle w:val="BodyText"/>
      </w:pPr>
      <w:r>
        <w:t>‘User Pays’ principles essentially dictate that the beneficiaries of adaptation options should pay for them. Mechanisms for fund raising may include:</w:t>
      </w:r>
    </w:p>
    <w:p w14:paraId="000830F8" w14:textId="77777777" w:rsidR="00CB2877" w:rsidRDefault="00CB2877" w:rsidP="00A97817">
      <w:pPr>
        <w:pStyle w:val="ListBullet0"/>
        <w:numPr>
          <w:ilvl w:val="0"/>
          <w:numId w:val="60"/>
        </w:numPr>
      </w:pPr>
      <w:r>
        <w:t>Specified Area Rates – as described above and considering the findings of benefit distribution analysis.</w:t>
      </w:r>
    </w:p>
    <w:p w14:paraId="554B3BA9" w14:textId="77777777" w:rsidR="00CB2877" w:rsidRPr="0076148E" w:rsidRDefault="00CB2877" w:rsidP="00A97817">
      <w:pPr>
        <w:pStyle w:val="ListBullet0"/>
        <w:numPr>
          <w:ilvl w:val="0"/>
          <w:numId w:val="60"/>
        </w:numPr>
      </w:pPr>
      <w:r>
        <w:t xml:space="preserve">Mechanisms for visitors to the town, as user of the coastline, to contribute. This could be in the form of a levy applied to their accommodation, or paid parking at key tourist sites. </w:t>
      </w:r>
    </w:p>
    <w:p w14:paraId="423CAA9F" w14:textId="77777777" w:rsidR="00CB2877" w:rsidRDefault="00CB2877" w:rsidP="00A97817">
      <w:pPr>
        <w:pStyle w:val="ListBullet0"/>
        <w:numPr>
          <w:ilvl w:val="0"/>
          <w:numId w:val="60"/>
        </w:numPr>
      </w:pPr>
      <w:r>
        <w:t>Developer contributions where specific developments benefit from their coastal location.</w:t>
      </w:r>
    </w:p>
    <w:p w14:paraId="4988BD2C" w14:textId="391BA721" w:rsidR="00FD05F6" w:rsidRPr="00FD05F6" w:rsidRDefault="00CB2877" w:rsidP="002535D8">
      <w:pPr>
        <w:pStyle w:val="BodyText"/>
      </w:pPr>
      <w:r>
        <w:t>At the time of writing the City is developing a benefit distribution analysis which will provide recommendations on options for methods and proportions by which the City could fund coastal works from direct beneficiaries.</w:t>
      </w:r>
    </w:p>
    <w:p w14:paraId="6D2157A1" w14:textId="76E2B104" w:rsidR="00A435F7" w:rsidRDefault="00A435F7" w:rsidP="00FD05F6">
      <w:pPr>
        <w:pStyle w:val="Heading2"/>
      </w:pPr>
      <w:bookmarkStart w:id="293" w:name="_Toc164421015"/>
      <w:r>
        <w:t>Monitoring and Review</w:t>
      </w:r>
      <w:bookmarkEnd w:id="293"/>
    </w:p>
    <w:p w14:paraId="62793608" w14:textId="77777777" w:rsidR="00C943AC" w:rsidRDefault="00C943AC" w:rsidP="00C943AC">
      <w:pPr>
        <w:pStyle w:val="BodyText"/>
      </w:pPr>
      <w:r>
        <w:t>Monitoring is essential to managing coastal hazards, tracking when coastal hazards reach trigger points, understanding the coastline evolution, capturing changes to vulnerabilities and measuring the success of coastal management actions.</w:t>
      </w:r>
    </w:p>
    <w:p w14:paraId="5F1ABFB9" w14:textId="77777777" w:rsidR="00C943AC" w:rsidRPr="00C66A42" w:rsidRDefault="00C943AC" w:rsidP="00C943AC">
      <w:pPr>
        <w:pStyle w:val="BodyText"/>
      </w:pPr>
      <w:r>
        <w:t>Coastal monitoring will inform the short-term implementation phase and increase the knowledge base for subsequent CHRMAP revisions and targeted investigations. Monitoring and review tasks include:</w:t>
      </w:r>
    </w:p>
    <w:p w14:paraId="203A0ED9" w14:textId="77777777" w:rsidR="00C943AC" w:rsidRDefault="00C943AC" w:rsidP="00A97817">
      <w:pPr>
        <w:pStyle w:val="ListBullet0"/>
        <w:numPr>
          <w:ilvl w:val="0"/>
          <w:numId w:val="60"/>
        </w:numPr>
      </w:pPr>
      <w:r>
        <w:t>Review of existing coastal monitoring programs,</w:t>
      </w:r>
    </w:p>
    <w:p w14:paraId="6E587139" w14:textId="77777777" w:rsidR="00C943AC" w:rsidRDefault="00C943AC" w:rsidP="00A97817">
      <w:pPr>
        <w:pStyle w:val="ListBullet0"/>
        <w:numPr>
          <w:ilvl w:val="0"/>
          <w:numId w:val="60"/>
        </w:numPr>
      </w:pPr>
      <w:r>
        <w:t>Review of coastal hazard projects outlined in erosion hazard assessment,</w:t>
      </w:r>
    </w:p>
    <w:p w14:paraId="51FC821B" w14:textId="77777777" w:rsidR="00C943AC" w:rsidRDefault="00C943AC" w:rsidP="00A97817">
      <w:pPr>
        <w:pStyle w:val="ListBullet0"/>
        <w:numPr>
          <w:ilvl w:val="0"/>
          <w:numId w:val="60"/>
        </w:numPr>
      </w:pPr>
      <w:r>
        <w:t>Recommend coastal monitoring activities to identify trigger points, to record dilapidation, to record when trigger points occur and to include indicative costs of monitoring works,</w:t>
      </w:r>
    </w:p>
    <w:p w14:paraId="6A59A9C2" w14:textId="77777777" w:rsidR="00C943AC" w:rsidRDefault="00C943AC" w:rsidP="00A97817">
      <w:pPr>
        <w:pStyle w:val="ListBullet0"/>
        <w:numPr>
          <w:ilvl w:val="0"/>
          <w:numId w:val="60"/>
        </w:numPr>
      </w:pPr>
      <w:r>
        <w:t>Recommend Trigger points, and</w:t>
      </w:r>
    </w:p>
    <w:p w14:paraId="78C2C129" w14:textId="64429BA3" w:rsidR="00C943AC" w:rsidRPr="00C943AC" w:rsidRDefault="00C943AC" w:rsidP="00A97817">
      <w:pPr>
        <w:pStyle w:val="ListBullet0"/>
        <w:numPr>
          <w:ilvl w:val="0"/>
          <w:numId w:val="60"/>
        </w:numPr>
      </w:pPr>
      <w:r>
        <w:t>Recommend CHRMAP review.</w:t>
      </w:r>
    </w:p>
    <w:p w14:paraId="053FB904" w14:textId="77777777" w:rsidR="005A005B" w:rsidRDefault="005A005B" w:rsidP="005A005B">
      <w:pPr>
        <w:pStyle w:val="Heading3"/>
      </w:pPr>
      <w:bookmarkStart w:id="294" w:name="_Toc162518715"/>
      <w:bookmarkStart w:id="295" w:name="_Toc164421016"/>
      <w:r>
        <w:t>Review of Existing Coastal Monitoring</w:t>
      </w:r>
      <w:bookmarkEnd w:id="294"/>
      <w:bookmarkEnd w:id="295"/>
    </w:p>
    <w:p w14:paraId="07443D74" w14:textId="77777777" w:rsidR="00C943AC" w:rsidRDefault="00C943AC" w:rsidP="00C943AC">
      <w:pPr>
        <w:pStyle w:val="BodyText"/>
      </w:pPr>
      <w:r w:rsidRPr="00A96CA4">
        <w:t>The following coastal monitoring activities</w:t>
      </w:r>
      <w:r>
        <w:t xml:space="preserve"> are currently undertaken in the study area and should be continued:</w:t>
      </w:r>
    </w:p>
    <w:p w14:paraId="5FF65159" w14:textId="77777777" w:rsidR="00C943AC" w:rsidRPr="006B395E" w:rsidRDefault="00C943AC" w:rsidP="00A97817">
      <w:pPr>
        <w:pStyle w:val="ListBullet0"/>
        <w:numPr>
          <w:ilvl w:val="0"/>
          <w:numId w:val="60"/>
        </w:numPr>
      </w:pPr>
      <w:r w:rsidRPr="006B395E">
        <w:t>Shoreline vegetation movement analysis from aerial photos undertaken by DoT</w:t>
      </w:r>
    </w:p>
    <w:p w14:paraId="079BA4BE" w14:textId="77777777" w:rsidR="00C943AC" w:rsidRPr="006B395E" w:rsidRDefault="00C943AC" w:rsidP="00A97817">
      <w:pPr>
        <w:pStyle w:val="ListBullet0"/>
        <w:numPr>
          <w:ilvl w:val="0"/>
          <w:numId w:val="60"/>
        </w:numPr>
      </w:pPr>
      <w:r w:rsidRPr="006B395E">
        <w:t>Water level monitoring at the Albany Port undertaken by DoT</w:t>
      </w:r>
    </w:p>
    <w:p w14:paraId="790BC597" w14:textId="77777777" w:rsidR="00C943AC" w:rsidRPr="006B395E" w:rsidRDefault="00C943AC" w:rsidP="00A97817">
      <w:pPr>
        <w:pStyle w:val="ListBullet0"/>
        <w:numPr>
          <w:ilvl w:val="0"/>
          <w:numId w:val="60"/>
        </w:numPr>
      </w:pPr>
      <w:r w:rsidRPr="006B395E">
        <w:t>Wave monitoring undertaken by DoT</w:t>
      </w:r>
    </w:p>
    <w:p w14:paraId="53A83760" w14:textId="2C2A435F" w:rsidR="00C943AC" w:rsidRPr="006B395E" w:rsidRDefault="00C943AC" w:rsidP="00A97817">
      <w:pPr>
        <w:pStyle w:val="ListBullet0"/>
        <w:numPr>
          <w:ilvl w:val="0"/>
          <w:numId w:val="60"/>
        </w:numPr>
      </w:pPr>
      <w:r w:rsidRPr="006B395E">
        <w:t>Bathymetric survey</w:t>
      </w:r>
      <w:r>
        <w:t>s commissioned Southern Ports and</w:t>
      </w:r>
      <w:r w:rsidRPr="006B395E">
        <w:t xml:space="preserve"> DoT</w:t>
      </w:r>
      <w:r>
        <w:t>.</w:t>
      </w:r>
    </w:p>
    <w:p w14:paraId="692172EE" w14:textId="77777777" w:rsidR="005A005B" w:rsidRDefault="005A005B" w:rsidP="005A005B">
      <w:pPr>
        <w:pStyle w:val="Heading3"/>
      </w:pPr>
      <w:bookmarkStart w:id="296" w:name="_Toc162518716"/>
      <w:bookmarkStart w:id="297" w:name="_Toc164421017"/>
      <w:r w:rsidRPr="006B395E">
        <w:t>Recommended Coastal Monitoring Activities</w:t>
      </w:r>
      <w:bookmarkEnd w:id="296"/>
      <w:bookmarkEnd w:id="297"/>
    </w:p>
    <w:p w14:paraId="29D3F64B" w14:textId="77777777" w:rsidR="00C943AC" w:rsidRDefault="00C943AC" w:rsidP="00C943AC">
      <w:pPr>
        <w:pStyle w:val="BodyText"/>
      </w:pPr>
      <w:r w:rsidRPr="006B395E">
        <w:t xml:space="preserve">The monitoring activities described below are designed to identify the impacts of the recommended Options and to record the evolution of the coastal trigger </w:t>
      </w:r>
      <w:r w:rsidRPr="003141F3">
        <w:t>points.</w:t>
      </w:r>
    </w:p>
    <w:p w14:paraId="439C75AF" w14:textId="77777777" w:rsidR="00C943AC" w:rsidRDefault="00C943AC" w:rsidP="00C943AC">
      <w:pPr>
        <w:pStyle w:val="BodyText"/>
      </w:pPr>
      <w:r>
        <w:lastRenderedPageBreak/>
        <w:t xml:space="preserve">Should any Option be modified, or other coastal projects be undertaken (such as maritime, or recreation/tourism projects) where coastal hazard risk management is not the primary focus, they should be subject to the same CHRMAP principles and require their own monitoring program appropriate to their location, size and objectives. Recommended coastal monitoring activities are presented in </w:t>
      </w:r>
      <w:r>
        <w:fldChar w:fldCharType="begin"/>
      </w:r>
      <w:r>
        <w:instrText xml:space="preserve"> REF _Ref160794344 \h </w:instrText>
      </w:r>
      <w:r>
        <w:fldChar w:fldCharType="separate"/>
      </w:r>
      <w:r>
        <w:t>Table </w:t>
      </w:r>
      <w:r>
        <w:rPr>
          <w:noProof/>
        </w:rPr>
        <w:t>5</w:t>
      </w:r>
      <w:r>
        <w:noBreakHyphen/>
      </w:r>
      <w:r>
        <w:rPr>
          <w:noProof/>
        </w:rPr>
        <w:t>1</w:t>
      </w:r>
      <w:r>
        <w:fldChar w:fldCharType="end"/>
      </w:r>
      <w:r>
        <w:t>.</w:t>
      </w:r>
    </w:p>
    <w:p w14:paraId="645B9DA1" w14:textId="7CE22360" w:rsidR="00C943AC" w:rsidRDefault="00C943AC" w:rsidP="00C943AC">
      <w:pPr>
        <w:pStyle w:val="TableCaption"/>
      </w:pPr>
      <w:bookmarkStart w:id="298" w:name="_Ref160794344"/>
      <w:bookmarkStart w:id="299" w:name="_Toc125031695"/>
      <w:bookmarkStart w:id="300" w:name="_Toc152578369"/>
      <w:bookmarkStart w:id="301" w:name="_Toc161227574"/>
      <w:bookmarkStart w:id="302" w:name="_Toc164411294"/>
      <w:r>
        <w:t>Table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4</w:t>
      </w:r>
      <w:r w:rsidR="008647EF">
        <w:fldChar w:fldCharType="end"/>
      </w:r>
      <w:bookmarkEnd w:id="298"/>
      <w:r>
        <w:tab/>
      </w:r>
      <w:bookmarkEnd w:id="299"/>
      <w:bookmarkEnd w:id="300"/>
      <w:r>
        <w:t>Recommended c</w:t>
      </w:r>
      <w:r w:rsidRPr="004C4505">
        <w:t>oastal monitoring</w:t>
      </w:r>
      <w:r>
        <w:t xml:space="preserve"> activities.</w:t>
      </w:r>
      <w:bookmarkEnd w:id="301"/>
      <w:bookmarkEnd w:id="302"/>
    </w:p>
    <w:tbl>
      <w:tblPr>
        <w:tblStyle w:val="BlueTable"/>
        <w:tblW w:w="0" w:type="auto"/>
        <w:tblLook w:val="0620" w:firstRow="1" w:lastRow="0" w:firstColumn="0" w:lastColumn="0" w:noHBand="1" w:noVBand="1"/>
      </w:tblPr>
      <w:tblGrid>
        <w:gridCol w:w="1786"/>
        <w:gridCol w:w="5316"/>
        <w:gridCol w:w="1519"/>
        <w:gridCol w:w="1007"/>
      </w:tblGrid>
      <w:tr w:rsidR="00C943AC" w14:paraId="1A5058A2" w14:textId="77777777" w:rsidTr="001355DB">
        <w:trPr>
          <w:cnfStyle w:val="100000000000" w:firstRow="1" w:lastRow="0" w:firstColumn="0" w:lastColumn="0" w:oddVBand="0" w:evenVBand="0" w:oddHBand="0" w:evenHBand="0" w:firstRowFirstColumn="0" w:firstRowLastColumn="0" w:lastRowFirstColumn="0" w:lastRowLastColumn="0"/>
        </w:trPr>
        <w:tc>
          <w:tcPr>
            <w:tcW w:w="0" w:type="auto"/>
          </w:tcPr>
          <w:p w14:paraId="29BB0846" w14:textId="77777777" w:rsidR="00C943AC" w:rsidRDefault="00C943AC" w:rsidP="001355DB">
            <w:pPr>
              <w:pStyle w:val="TableHeading"/>
            </w:pPr>
            <w:r>
              <w:t>Monitoring Activity</w:t>
            </w:r>
          </w:p>
        </w:tc>
        <w:tc>
          <w:tcPr>
            <w:tcW w:w="0" w:type="auto"/>
          </w:tcPr>
          <w:p w14:paraId="073936A8" w14:textId="77777777" w:rsidR="00C943AC" w:rsidRDefault="00C943AC" w:rsidP="001355DB">
            <w:pPr>
              <w:pStyle w:val="TableHeading"/>
            </w:pPr>
            <w:r>
              <w:t>Overview</w:t>
            </w:r>
          </w:p>
        </w:tc>
        <w:tc>
          <w:tcPr>
            <w:tcW w:w="0" w:type="auto"/>
          </w:tcPr>
          <w:p w14:paraId="38F27A9D" w14:textId="77777777" w:rsidR="00C943AC" w:rsidRDefault="00C943AC" w:rsidP="001355DB">
            <w:pPr>
              <w:pStyle w:val="TableHeading"/>
            </w:pPr>
            <w:r>
              <w:t>Location</w:t>
            </w:r>
          </w:p>
        </w:tc>
        <w:tc>
          <w:tcPr>
            <w:tcW w:w="0" w:type="auto"/>
          </w:tcPr>
          <w:p w14:paraId="495699A0" w14:textId="77777777" w:rsidR="00C943AC" w:rsidRDefault="00C943AC" w:rsidP="001355DB">
            <w:pPr>
              <w:pStyle w:val="TableHeading"/>
            </w:pPr>
            <w:r>
              <w:t>Timing</w:t>
            </w:r>
          </w:p>
        </w:tc>
      </w:tr>
      <w:tr w:rsidR="00C943AC" w14:paraId="605A2B52" w14:textId="77777777" w:rsidTr="001355DB">
        <w:tc>
          <w:tcPr>
            <w:tcW w:w="0" w:type="auto"/>
            <w:vAlign w:val="center"/>
          </w:tcPr>
          <w:p w14:paraId="1764F999" w14:textId="77777777" w:rsidR="00C943AC" w:rsidRDefault="00C943AC" w:rsidP="001355DB">
            <w:pPr>
              <w:pStyle w:val="TableText"/>
            </w:pPr>
            <w:r>
              <w:t>Beach and foreshore topographic survey.</w:t>
            </w:r>
          </w:p>
        </w:tc>
        <w:tc>
          <w:tcPr>
            <w:tcW w:w="0" w:type="auto"/>
            <w:vAlign w:val="center"/>
          </w:tcPr>
          <w:p w14:paraId="17C825A5" w14:textId="77777777" w:rsidR="00C943AC" w:rsidRDefault="00C943AC" w:rsidP="001355DB">
            <w:pPr>
              <w:pStyle w:val="TableText"/>
            </w:pPr>
            <w:r>
              <w:t xml:space="preserve">It is recommended to prepare an RFQ to engage a certified professional surveyor for a long-term beach and foreshore topographic survey data collection program (assumed as three years). </w:t>
            </w:r>
          </w:p>
          <w:p w14:paraId="7458F438" w14:textId="77777777" w:rsidR="00C943AC" w:rsidRDefault="00C943AC" w:rsidP="001355DB">
            <w:pPr>
              <w:pStyle w:val="TableText"/>
            </w:pPr>
          </w:p>
          <w:p w14:paraId="139DFAEA" w14:textId="77777777" w:rsidR="00C943AC" w:rsidRDefault="00C943AC" w:rsidP="001355DB">
            <w:pPr>
              <w:pStyle w:val="TableText"/>
            </w:pPr>
            <w:r w:rsidRPr="002405CE">
              <w:t>Routine beach and dune surveys, in the form of beach profiles</w:t>
            </w:r>
            <w:r>
              <w:t xml:space="preserve"> as a minimum</w:t>
            </w:r>
            <w:r w:rsidRPr="002405CE">
              <w:t xml:space="preserve">, are recommended every </w:t>
            </w:r>
            <w:r>
              <w:t>6 months</w:t>
            </w:r>
            <w:r w:rsidRPr="002405CE">
              <w:t xml:space="preserve">, following the </w:t>
            </w:r>
            <w:r>
              <w:t xml:space="preserve">summer and </w:t>
            </w:r>
            <w:r w:rsidRPr="002405CE">
              <w:t>winter season</w:t>
            </w:r>
            <w:r>
              <w:t>s</w:t>
            </w:r>
            <w:r w:rsidRPr="002405CE">
              <w:t>, every 400m along the coast</w:t>
            </w:r>
            <w:r>
              <w:t xml:space="preserve"> in undeveloped areas and every 100m in developed areas</w:t>
            </w:r>
            <w:r w:rsidRPr="002405CE">
              <w:t>. Beach profiles may be spaced more closely where Options include trigger points monitoring and/or to support specific project requirements. The beach survey may also be continuous along the coast using LiDAR or other appropriate technique with a view to capture coastal processes more accurately, while allowing the processing of beach profile data. Additionally, surveys can be undertaken immediately following severe storms producing significant beach erosion. These are useful for recording historical events, confirming the presence of bedrock, and calibrating models. The survey datasets should be centralised into a database, which includes previous historical beach profiles and quality control information such as survey date, datum, survey mark, beach material encountered (rock vs sand) and method used.</w:t>
            </w:r>
          </w:p>
        </w:tc>
        <w:tc>
          <w:tcPr>
            <w:tcW w:w="0" w:type="auto"/>
          </w:tcPr>
          <w:p w14:paraId="2EAF8C25" w14:textId="77777777" w:rsidR="00C943AC" w:rsidRDefault="00C943AC" w:rsidP="001355DB">
            <w:pPr>
              <w:pStyle w:val="TableText"/>
            </w:pPr>
            <w:r>
              <w:t>MU’s 2, 3, 4 &amp; 5.</w:t>
            </w:r>
          </w:p>
        </w:tc>
        <w:tc>
          <w:tcPr>
            <w:tcW w:w="0" w:type="auto"/>
          </w:tcPr>
          <w:p w14:paraId="1FA03691" w14:textId="77777777" w:rsidR="00C943AC" w:rsidRDefault="00C943AC" w:rsidP="001355DB">
            <w:pPr>
              <w:pStyle w:val="TableText"/>
            </w:pPr>
            <w:r>
              <w:t>2024-2027.</w:t>
            </w:r>
          </w:p>
        </w:tc>
      </w:tr>
      <w:tr w:rsidR="00C943AC" w14:paraId="6F9DDBF3" w14:textId="77777777" w:rsidTr="001355DB">
        <w:tc>
          <w:tcPr>
            <w:tcW w:w="0" w:type="auto"/>
            <w:vAlign w:val="center"/>
          </w:tcPr>
          <w:p w14:paraId="7E3CD009" w14:textId="77777777" w:rsidR="00C943AC" w:rsidRDefault="00C943AC" w:rsidP="001355DB">
            <w:pPr>
              <w:pStyle w:val="TableText"/>
            </w:pPr>
            <w:r>
              <w:t>Field photos.</w:t>
            </w:r>
          </w:p>
        </w:tc>
        <w:tc>
          <w:tcPr>
            <w:tcW w:w="0" w:type="auto"/>
            <w:vAlign w:val="center"/>
          </w:tcPr>
          <w:p w14:paraId="7E05F502" w14:textId="77777777" w:rsidR="00C943AC" w:rsidRDefault="00C943AC" w:rsidP="001355DB">
            <w:pPr>
              <w:pStyle w:val="TableText"/>
            </w:pPr>
            <w:r>
              <w:t xml:space="preserve">Collect beach and foredune monitoring photos at the same time as the beach and foreshore topographic survey, </w:t>
            </w:r>
            <w:r w:rsidRPr="002405CE">
              <w:t>particularly for inundation events as it is often impractical to organise detailed survey at short notice.</w:t>
            </w:r>
          </w:p>
        </w:tc>
        <w:tc>
          <w:tcPr>
            <w:tcW w:w="0" w:type="auto"/>
          </w:tcPr>
          <w:p w14:paraId="459544CA" w14:textId="77777777" w:rsidR="00C943AC" w:rsidRDefault="00C943AC" w:rsidP="001355DB">
            <w:pPr>
              <w:pStyle w:val="TableText"/>
            </w:pPr>
            <w:r>
              <w:t>All MU’s.</w:t>
            </w:r>
          </w:p>
        </w:tc>
        <w:tc>
          <w:tcPr>
            <w:tcW w:w="0" w:type="auto"/>
          </w:tcPr>
          <w:p w14:paraId="0A7CC4FD" w14:textId="77777777" w:rsidR="00C943AC" w:rsidRDefault="00C943AC" w:rsidP="001355DB">
            <w:pPr>
              <w:pStyle w:val="TableText"/>
            </w:pPr>
            <w:r>
              <w:t>2025-2027.</w:t>
            </w:r>
          </w:p>
        </w:tc>
      </w:tr>
      <w:tr w:rsidR="00C943AC" w14:paraId="49DA9810" w14:textId="77777777" w:rsidTr="001355DB">
        <w:tc>
          <w:tcPr>
            <w:tcW w:w="0" w:type="auto"/>
            <w:vAlign w:val="center"/>
          </w:tcPr>
          <w:p w14:paraId="160BE268" w14:textId="77777777" w:rsidR="00C943AC" w:rsidRDefault="00C943AC" w:rsidP="001355DB">
            <w:pPr>
              <w:pStyle w:val="TableText"/>
            </w:pPr>
            <w:r>
              <w:t>Bathymetric survey.</w:t>
            </w:r>
          </w:p>
        </w:tc>
        <w:tc>
          <w:tcPr>
            <w:tcW w:w="0" w:type="auto"/>
            <w:vAlign w:val="center"/>
          </w:tcPr>
          <w:p w14:paraId="60F95D43" w14:textId="77777777" w:rsidR="00C943AC" w:rsidRDefault="00C943AC" w:rsidP="001355DB">
            <w:pPr>
              <w:pStyle w:val="TableText"/>
            </w:pPr>
            <w:r>
              <w:t>Collect additional nearshore bathymetry data (water depths) for future coastal processes investigations and option development in all MU’s. Survey should target reaching depths of approximately -4.0mAHD.</w:t>
            </w:r>
          </w:p>
          <w:p w14:paraId="597BB6FE" w14:textId="77777777" w:rsidR="00C943AC" w:rsidRDefault="00C943AC" w:rsidP="001355DB">
            <w:pPr>
              <w:pStyle w:val="TableText"/>
            </w:pPr>
            <w:r>
              <w:t>Specifically</w:t>
            </w:r>
            <w:r w:rsidRPr="002405CE">
              <w:t xml:space="preserve"> bathymetric survey of shallow waters of MU1 to identify any changes in sand and seagrass banks, approximately every 5 years.</w:t>
            </w:r>
          </w:p>
        </w:tc>
        <w:tc>
          <w:tcPr>
            <w:tcW w:w="0" w:type="auto"/>
          </w:tcPr>
          <w:p w14:paraId="7A281E70" w14:textId="77777777" w:rsidR="00C943AC" w:rsidRDefault="00C943AC" w:rsidP="001355DB">
            <w:pPr>
              <w:pStyle w:val="TableText"/>
            </w:pPr>
            <w:r>
              <w:t xml:space="preserve">All MU’s. Focus on MU1 </w:t>
            </w:r>
            <w:r w:rsidRPr="002405CE">
              <w:t>sand and seagrass banks</w:t>
            </w:r>
            <w:r>
              <w:t>.</w:t>
            </w:r>
          </w:p>
        </w:tc>
        <w:tc>
          <w:tcPr>
            <w:tcW w:w="0" w:type="auto"/>
          </w:tcPr>
          <w:p w14:paraId="7024ABAA" w14:textId="77777777" w:rsidR="00C943AC" w:rsidRDefault="00C943AC" w:rsidP="001355DB">
            <w:pPr>
              <w:pStyle w:val="TableText"/>
            </w:pPr>
            <w:r>
              <w:t>2025</w:t>
            </w:r>
          </w:p>
        </w:tc>
      </w:tr>
      <w:tr w:rsidR="00C943AC" w14:paraId="6FF86315" w14:textId="77777777" w:rsidTr="001355DB">
        <w:tc>
          <w:tcPr>
            <w:tcW w:w="0" w:type="auto"/>
            <w:vAlign w:val="center"/>
          </w:tcPr>
          <w:p w14:paraId="620868AA" w14:textId="77777777" w:rsidR="00C943AC" w:rsidRDefault="00C943AC" w:rsidP="001355DB">
            <w:pPr>
              <w:pStyle w:val="TableText"/>
            </w:pPr>
            <w:r>
              <w:lastRenderedPageBreak/>
              <w:t>Coastal protection structure audit.</w:t>
            </w:r>
          </w:p>
        </w:tc>
        <w:tc>
          <w:tcPr>
            <w:tcW w:w="0" w:type="auto"/>
            <w:vAlign w:val="center"/>
          </w:tcPr>
          <w:p w14:paraId="77A42D34" w14:textId="77777777" w:rsidR="00C943AC" w:rsidRDefault="00C943AC" w:rsidP="001355DB">
            <w:pPr>
              <w:pStyle w:val="TableText"/>
            </w:pPr>
            <w:r>
              <w:t xml:space="preserve">The City should prepare an RFQ and engage a consultant to undertake an audit of the coastal protection structures the City is responsible for the care, control and maintenance of. </w:t>
            </w:r>
          </w:p>
          <w:p w14:paraId="70670FDC" w14:textId="77777777" w:rsidR="00C943AC" w:rsidRDefault="00C943AC" w:rsidP="001355DB">
            <w:pPr>
              <w:pStyle w:val="TableText"/>
            </w:pPr>
            <w:r w:rsidRPr="002405CE">
              <w:t>Regular monitoring of the coastal management structures (Protection Structure Audit – NR2) – e.g., revetment seawalls and breakwaters should be undertaken with consistent methodology to allow comparison between inspections. These can be commenced immediately, and the initial assessment would identify an appropriate review schedule for each structure, or if there is an issue with an asset. Such assessment would occur yearly to blend into the City’s existing asset management reporting systems.</w:t>
            </w:r>
          </w:p>
        </w:tc>
        <w:tc>
          <w:tcPr>
            <w:tcW w:w="0" w:type="auto"/>
          </w:tcPr>
          <w:p w14:paraId="3CD86162" w14:textId="77777777" w:rsidR="00C943AC" w:rsidRDefault="00C943AC" w:rsidP="001355DB">
            <w:pPr>
              <w:pStyle w:val="TableText"/>
            </w:pPr>
            <w:r>
              <w:t>MU’s 1, 2, 3 &amp; 5.</w:t>
            </w:r>
          </w:p>
        </w:tc>
        <w:tc>
          <w:tcPr>
            <w:tcW w:w="0" w:type="auto"/>
          </w:tcPr>
          <w:p w14:paraId="541CCD2F" w14:textId="77777777" w:rsidR="00C943AC" w:rsidRDefault="00C943AC" w:rsidP="001355DB">
            <w:pPr>
              <w:pStyle w:val="TableText"/>
            </w:pPr>
            <w:r>
              <w:t>2026</w:t>
            </w:r>
          </w:p>
        </w:tc>
      </w:tr>
      <w:tr w:rsidR="00C943AC" w14:paraId="39B9C9E8" w14:textId="77777777" w:rsidTr="001355DB">
        <w:tc>
          <w:tcPr>
            <w:tcW w:w="0" w:type="auto"/>
            <w:vAlign w:val="center"/>
          </w:tcPr>
          <w:p w14:paraId="26FE02C2" w14:textId="77777777" w:rsidR="00C943AC" w:rsidRDefault="00C943AC" w:rsidP="001355DB">
            <w:pPr>
              <w:pStyle w:val="TableText"/>
            </w:pPr>
            <w:r>
              <w:t>Geotechnical investigations.</w:t>
            </w:r>
          </w:p>
        </w:tc>
        <w:tc>
          <w:tcPr>
            <w:tcW w:w="0" w:type="auto"/>
            <w:vAlign w:val="center"/>
          </w:tcPr>
          <w:p w14:paraId="79BC9621" w14:textId="77777777" w:rsidR="00C943AC" w:rsidRDefault="00C943AC" w:rsidP="001355DB">
            <w:pPr>
              <w:pStyle w:val="TableText"/>
            </w:pPr>
            <w:r w:rsidRPr="00F0728D">
              <w:t xml:space="preserve">Geotechnical investigations are proposed to </w:t>
            </w:r>
            <w:r>
              <w:t>identify</w:t>
            </w:r>
            <w:r w:rsidRPr="00F0728D">
              <w:t xml:space="preserve"> the</w:t>
            </w:r>
            <w:r>
              <w:t xml:space="preserve"> potential</w:t>
            </w:r>
            <w:r w:rsidRPr="00F0728D">
              <w:t xml:space="preserve"> presence </w:t>
            </w:r>
            <w:r>
              <w:t xml:space="preserve">and depths </w:t>
            </w:r>
            <w:r w:rsidRPr="00F0728D">
              <w:t xml:space="preserve">of </w:t>
            </w:r>
            <w:r>
              <w:t xml:space="preserve">local </w:t>
            </w:r>
            <w:r w:rsidRPr="00F0728D">
              <w:t>bedrock</w:t>
            </w:r>
            <w:r>
              <w:t xml:space="preserve"> strata</w:t>
            </w:r>
            <w:r w:rsidRPr="00F0728D">
              <w:t xml:space="preserve"> below the beach</w:t>
            </w:r>
            <w:r>
              <w:t xml:space="preserve"> and foreshore</w:t>
            </w:r>
            <w:r w:rsidRPr="00F0728D">
              <w:t xml:space="preserve">. When bedrock is located relatively near the surface, it can provide some natural </w:t>
            </w:r>
            <w:r>
              <w:t xml:space="preserve">resistance </w:t>
            </w:r>
            <w:r w:rsidRPr="00F0728D">
              <w:t>to erosion and</w:t>
            </w:r>
            <w:r>
              <w:t xml:space="preserve"> help inform the refinement and design of coastal management options</w:t>
            </w:r>
            <w:r w:rsidRPr="00F0728D">
              <w:t>.</w:t>
            </w:r>
          </w:p>
          <w:p w14:paraId="52D85F08" w14:textId="77777777" w:rsidR="00C943AC" w:rsidRDefault="00C943AC" w:rsidP="001355DB">
            <w:pPr>
              <w:pStyle w:val="TableText"/>
            </w:pPr>
            <w:r w:rsidRPr="002405CE">
              <w:t>However, in low-lying areas, the presence of bedrock may not significantly mitigate the coastal hazards. Such investigation may be carried out by ground penetration radar, test pits or survey observations following beach erosion events.</w:t>
            </w:r>
          </w:p>
        </w:tc>
        <w:tc>
          <w:tcPr>
            <w:tcW w:w="0" w:type="auto"/>
          </w:tcPr>
          <w:p w14:paraId="51C2973D" w14:textId="77777777" w:rsidR="00C943AC" w:rsidRDefault="00C943AC" w:rsidP="001355DB">
            <w:pPr>
              <w:pStyle w:val="TableText"/>
            </w:pPr>
            <w:r>
              <w:t>All MU’s.</w:t>
            </w:r>
          </w:p>
        </w:tc>
        <w:tc>
          <w:tcPr>
            <w:tcW w:w="0" w:type="auto"/>
          </w:tcPr>
          <w:p w14:paraId="3130D721" w14:textId="77777777" w:rsidR="00C943AC" w:rsidRDefault="00C943AC" w:rsidP="001355DB">
            <w:pPr>
              <w:pStyle w:val="TableText"/>
            </w:pPr>
            <w:r>
              <w:t>2027 / 2028 / 2029.</w:t>
            </w:r>
          </w:p>
        </w:tc>
      </w:tr>
    </w:tbl>
    <w:p w14:paraId="5FB9D9BE" w14:textId="77777777" w:rsidR="005A005B" w:rsidRDefault="005A005B" w:rsidP="005A005B">
      <w:pPr>
        <w:pStyle w:val="Heading3"/>
      </w:pPr>
      <w:bookmarkStart w:id="303" w:name="_Toc162518717"/>
      <w:bookmarkStart w:id="304" w:name="_Toc164421018"/>
      <w:r>
        <w:t>Trigger Points</w:t>
      </w:r>
      <w:bookmarkEnd w:id="303"/>
      <w:bookmarkEnd w:id="304"/>
    </w:p>
    <w:p w14:paraId="3947F8D4" w14:textId="77777777" w:rsidR="00C943AC" w:rsidRPr="00C66A42" w:rsidRDefault="00C943AC" w:rsidP="00836B10">
      <w:pPr>
        <w:pStyle w:val="BodyText"/>
      </w:pPr>
      <w:r w:rsidRPr="00C66A42">
        <w:t>Th</w:t>
      </w:r>
      <w:r>
        <w:t>e CHRMAP consider four</w:t>
      </w:r>
      <w:r w:rsidRPr="00C66A42">
        <w:t xml:space="preserve"> </w:t>
      </w:r>
      <w:r>
        <w:t xml:space="preserve">types of </w:t>
      </w:r>
      <w:r w:rsidRPr="00C66A42">
        <w:t>trigger</w:t>
      </w:r>
      <w:r>
        <w:t xml:space="preserve"> points, as follows:</w:t>
      </w:r>
    </w:p>
    <w:p w14:paraId="1921BAE7" w14:textId="77777777" w:rsidR="00C943AC" w:rsidRPr="00792B38" w:rsidRDefault="00C943AC" w:rsidP="00A97817">
      <w:pPr>
        <w:pStyle w:val="ListBullet0"/>
        <w:numPr>
          <w:ilvl w:val="0"/>
          <w:numId w:val="60"/>
        </w:numPr>
      </w:pPr>
      <w:r w:rsidRPr="002B6724">
        <w:rPr>
          <w:b/>
        </w:rPr>
        <w:t>Proximity trigger</w:t>
      </w:r>
      <w:r w:rsidRPr="002B6724">
        <w:t xml:space="preserve">: Where the most landward part of the Horizontal Shoreline Datum (HSD) is within the Current Risk of Storm Erosion Allowance (S1 value) of the most seaward point of a public asset of interest or private property lot boundary. Due to the high value of the foreshore reserve, the foreshore reserve may be considered to be “the most seaward point”. </w:t>
      </w:r>
      <w:r>
        <w:t xml:space="preserve">If individual assets have a specific distance-based trigger relating to the HSD then the beach and dune survey activities described above should be used to collect topographic data that can be used to map the updated HSD position. </w:t>
      </w:r>
    </w:p>
    <w:p w14:paraId="3E0BFA3F" w14:textId="77777777" w:rsidR="00C943AC" w:rsidRPr="00C66A42" w:rsidRDefault="00C943AC" w:rsidP="00A97817">
      <w:pPr>
        <w:pStyle w:val="ListBullet0"/>
        <w:numPr>
          <w:ilvl w:val="0"/>
          <w:numId w:val="60"/>
        </w:numPr>
      </w:pPr>
      <w:r w:rsidRPr="002B6724">
        <w:rPr>
          <w:b/>
        </w:rPr>
        <w:t>Access trigger</w:t>
      </w:r>
      <w:r>
        <w:t>: Where a public road is considered no longer available or able to provide legal access to the property.</w:t>
      </w:r>
    </w:p>
    <w:p w14:paraId="6C8C23EB" w14:textId="77777777" w:rsidR="00C943AC" w:rsidRPr="00C66A42" w:rsidRDefault="00C943AC" w:rsidP="00A97817">
      <w:pPr>
        <w:pStyle w:val="ListBullet0"/>
        <w:numPr>
          <w:ilvl w:val="0"/>
          <w:numId w:val="60"/>
        </w:numPr>
      </w:pPr>
      <w:r w:rsidRPr="002B6724">
        <w:rPr>
          <w:b/>
        </w:rPr>
        <w:t>Utilities trigger</w:t>
      </w:r>
      <w:r>
        <w:t>: When water, sewage, communications or electricity to the lot is no longer available as they have been removed/decommissioned by the relevant authority due to coastal hazards.</w:t>
      </w:r>
    </w:p>
    <w:p w14:paraId="574AD0D3" w14:textId="77777777" w:rsidR="00C943AC" w:rsidRDefault="00C943AC" w:rsidP="00A97817">
      <w:pPr>
        <w:pStyle w:val="ListBullet0"/>
        <w:numPr>
          <w:ilvl w:val="0"/>
          <w:numId w:val="60"/>
        </w:numPr>
      </w:pPr>
      <w:r w:rsidRPr="002B6724">
        <w:rPr>
          <w:b/>
        </w:rPr>
        <w:t>Damage trigger</w:t>
      </w:r>
      <w:r>
        <w:t>: Any property within the hazard zone and within a dedicated Special Control Area, that is damaged by a coastal hazard from an extreme weather event shall require LGA approval before being repaired. The review process should involve re-fit of minor or moderately damaged assets to accommodate coastal hazards in the future; or removal and redevelopment outside the hazard zone for damaged assets.</w:t>
      </w:r>
    </w:p>
    <w:p w14:paraId="6C3A2290" w14:textId="77777777" w:rsidR="00C943AC" w:rsidRDefault="00C943AC" w:rsidP="00C943AC">
      <w:pPr>
        <w:pStyle w:val="BodyText"/>
      </w:pPr>
      <w:r>
        <w:t>This list follows a</w:t>
      </w:r>
      <w:r w:rsidRPr="00C66A42">
        <w:t xml:space="preserve"> </w:t>
      </w:r>
      <w:r>
        <w:t>sequential</w:t>
      </w:r>
      <w:r w:rsidRPr="00C66A42">
        <w:t xml:space="preserve"> </w:t>
      </w:r>
      <w:r>
        <w:t xml:space="preserve">/ prioritisation </w:t>
      </w:r>
      <w:r w:rsidRPr="00C66A42">
        <w:t>order</w:t>
      </w:r>
      <w:r>
        <w:t xml:space="preserve">. </w:t>
      </w:r>
      <w:r w:rsidRPr="00C66A42">
        <w:t xml:space="preserve">That is, </w:t>
      </w:r>
      <w:r>
        <w:t>a “</w:t>
      </w:r>
      <w:r w:rsidRPr="00C66A42">
        <w:t>proximity trigger</w:t>
      </w:r>
      <w:r>
        <w:t>”</w:t>
      </w:r>
      <w:r w:rsidRPr="00C66A42">
        <w:t xml:space="preserve"> is </w:t>
      </w:r>
      <w:r>
        <w:t>recommended over a</w:t>
      </w:r>
      <w:r w:rsidRPr="00C66A42">
        <w:t xml:space="preserve"> </w:t>
      </w:r>
      <w:r>
        <w:t>“</w:t>
      </w:r>
      <w:r w:rsidRPr="00C66A42">
        <w:t xml:space="preserve">damage </w:t>
      </w:r>
      <w:r>
        <w:t>trigger”.</w:t>
      </w:r>
    </w:p>
    <w:p w14:paraId="08E95F17" w14:textId="77777777" w:rsidR="005A005B" w:rsidRDefault="005A005B" w:rsidP="005A005B">
      <w:pPr>
        <w:pStyle w:val="Heading3"/>
      </w:pPr>
      <w:bookmarkStart w:id="305" w:name="_Toc162518718"/>
      <w:bookmarkStart w:id="306" w:name="_Toc164421019"/>
      <w:r>
        <w:lastRenderedPageBreak/>
        <w:t>CHRMAP Review</w:t>
      </w:r>
      <w:bookmarkEnd w:id="305"/>
      <w:bookmarkEnd w:id="306"/>
    </w:p>
    <w:p w14:paraId="4D751A3F" w14:textId="77777777" w:rsidR="00C943AC" w:rsidRPr="00720EBC" w:rsidRDefault="00C943AC" w:rsidP="00C943AC">
      <w:pPr>
        <w:pStyle w:val="ListBullet0"/>
        <w:autoSpaceDE w:val="0"/>
        <w:autoSpaceDN w:val="0"/>
        <w:adjustRightInd w:val="0"/>
        <w:rPr>
          <w:rFonts w:ascii="Arial" w:hAnsi="Arial" w:cs="Arial"/>
          <w:color w:val="000000"/>
        </w:rPr>
      </w:pPr>
      <w:r w:rsidRPr="25D90110">
        <w:rPr>
          <w:rFonts w:ascii="Arial" w:hAnsi="Arial" w:cs="Arial"/>
          <w:color w:val="000000" w:themeColor="text1"/>
        </w:rPr>
        <w:t xml:space="preserve">This CHRMAP should be updated </w:t>
      </w:r>
      <w:r>
        <w:rPr>
          <w:rFonts w:ascii="Arial" w:hAnsi="Arial" w:cs="Arial"/>
          <w:color w:val="000000" w:themeColor="text1"/>
        </w:rPr>
        <w:t xml:space="preserve">at least </w:t>
      </w:r>
      <w:r w:rsidRPr="25D90110">
        <w:rPr>
          <w:rFonts w:ascii="Arial" w:hAnsi="Arial" w:cs="Arial"/>
          <w:color w:val="000000" w:themeColor="text1"/>
        </w:rPr>
        <w:t xml:space="preserve">every 10 years to maintain currency and should be </w:t>
      </w:r>
      <w:r w:rsidRPr="72E34377">
        <w:rPr>
          <w:rFonts w:ascii="Arial" w:hAnsi="Arial" w:cs="Arial"/>
          <w:color w:val="000000" w:themeColor="text1"/>
        </w:rPr>
        <w:t xml:space="preserve">considered </w:t>
      </w:r>
      <w:r w:rsidRPr="25D90110">
        <w:rPr>
          <w:rFonts w:ascii="Arial" w:hAnsi="Arial" w:cs="Arial"/>
          <w:color w:val="000000" w:themeColor="text1"/>
        </w:rPr>
        <w:t>a “living document”.</w:t>
      </w:r>
      <w:r>
        <w:rPr>
          <w:rFonts w:ascii="Arial" w:hAnsi="Arial" w:cs="Arial"/>
          <w:color w:val="000000" w:themeColor="text1"/>
        </w:rPr>
        <w:t xml:space="preserve"> </w:t>
      </w:r>
      <w:r w:rsidRPr="25D90110">
        <w:rPr>
          <w:rFonts w:ascii="Arial" w:hAnsi="Arial" w:cs="Arial"/>
          <w:color w:val="000000" w:themeColor="text1"/>
        </w:rPr>
        <w:t xml:space="preserve">An earlier review should be considered </w:t>
      </w:r>
      <w:r>
        <w:rPr>
          <w:rFonts w:ascii="Arial" w:hAnsi="Arial" w:cs="Arial"/>
          <w:color w:val="000000" w:themeColor="text1"/>
        </w:rPr>
        <w:t xml:space="preserve">if any of </w:t>
      </w:r>
      <w:r w:rsidRPr="25D90110">
        <w:rPr>
          <w:rFonts w:ascii="Arial" w:hAnsi="Arial" w:cs="Arial"/>
          <w:color w:val="000000" w:themeColor="text1"/>
        </w:rPr>
        <w:t>the following event</w:t>
      </w:r>
      <w:r>
        <w:rPr>
          <w:rFonts w:ascii="Arial" w:hAnsi="Arial" w:cs="Arial"/>
          <w:color w:val="000000" w:themeColor="text1"/>
        </w:rPr>
        <w:t>s</w:t>
      </w:r>
      <w:r w:rsidRPr="25D90110">
        <w:rPr>
          <w:rFonts w:ascii="Arial" w:hAnsi="Arial" w:cs="Arial"/>
          <w:color w:val="000000" w:themeColor="text1"/>
        </w:rPr>
        <w:t xml:space="preserve"> occur:</w:t>
      </w:r>
    </w:p>
    <w:p w14:paraId="285463DE" w14:textId="77777777" w:rsidR="00C943AC" w:rsidRPr="00720EBC" w:rsidRDefault="00C943AC" w:rsidP="00A97817">
      <w:pPr>
        <w:pStyle w:val="ListBullet0"/>
        <w:numPr>
          <w:ilvl w:val="0"/>
          <w:numId w:val="60"/>
        </w:numPr>
      </w:pPr>
      <w:r>
        <w:t>Substantial storm events generating severe coastal hazards approaching or exceeding the CHRMAP projections.</w:t>
      </w:r>
    </w:p>
    <w:p w14:paraId="4C798BF8" w14:textId="77777777" w:rsidR="00662C61" w:rsidRDefault="00C943AC" w:rsidP="00A97817">
      <w:pPr>
        <w:pStyle w:val="ListBullet0"/>
        <w:numPr>
          <w:ilvl w:val="0"/>
          <w:numId w:val="60"/>
        </w:numPr>
      </w:pPr>
      <w:r>
        <w:t>Significant changes to land-use planning – such as complex amendments to, or full review of, the Local Planning Scheme.</w:t>
      </w:r>
    </w:p>
    <w:p w14:paraId="23B4E4A2" w14:textId="77777777" w:rsidR="00662C61" w:rsidRDefault="00C943AC" w:rsidP="00A97817">
      <w:pPr>
        <w:pStyle w:val="ListBullet0"/>
        <w:numPr>
          <w:ilvl w:val="0"/>
          <w:numId w:val="60"/>
        </w:numPr>
      </w:pPr>
      <w:r>
        <w:t xml:space="preserve">New information becomes available which substantially affects the summary of local community values and assets (natural or built). This may typically occur when consulting the community regarding other documents such as the Local Planning Scheme or Foreshore Management Plan, or the occurrence of a significant storm event. </w:t>
      </w:r>
    </w:p>
    <w:p w14:paraId="4E28DDD5" w14:textId="450674A0" w:rsidR="00C943AC" w:rsidRDefault="00C943AC" w:rsidP="00FF5CBF">
      <w:pPr>
        <w:pStyle w:val="ListBullet0"/>
        <w:numPr>
          <w:ilvl w:val="0"/>
          <w:numId w:val="45"/>
        </w:numPr>
      </w:pPr>
      <w:r>
        <w:t>Hazard modelling for the study area should be updated given any of the following:</w:t>
      </w:r>
    </w:p>
    <w:p w14:paraId="10D31710" w14:textId="77777777" w:rsidR="00C943AC" w:rsidRDefault="00C943AC" w:rsidP="00FF5CBF">
      <w:pPr>
        <w:pStyle w:val="ListBullet0"/>
        <w:numPr>
          <w:ilvl w:val="1"/>
          <w:numId w:val="45"/>
        </w:numPr>
      </w:pPr>
      <w:r w:rsidRPr="00720EBC">
        <w:t xml:space="preserve">recent data collection </w:t>
      </w:r>
    </w:p>
    <w:p w14:paraId="0D287CC2" w14:textId="77777777" w:rsidR="00C943AC" w:rsidRDefault="00C943AC" w:rsidP="00FF5CBF">
      <w:pPr>
        <w:pStyle w:val="ListBullet0"/>
        <w:numPr>
          <w:ilvl w:val="1"/>
          <w:numId w:val="45"/>
        </w:numPr>
      </w:pPr>
      <w:r w:rsidRPr="00720EBC">
        <w:t>planning changes</w:t>
      </w:r>
    </w:p>
    <w:p w14:paraId="6546DDF0" w14:textId="77777777" w:rsidR="00C943AC" w:rsidRDefault="00C943AC" w:rsidP="00FF5CBF">
      <w:pPr>
        <w:pStyle w:val="ListBullet0"/>
        <w:numPr>
          <w:ilvl w:val="1"/>
          <w:numId w:val="45"/>
        </w:numPr>
      </w:pPr>
      <w:r w:rsidRPr="00720EBC">
        <w:t>updates in climate change science,</w:t>
      </w:r>
      <w:r>
        <w:t xml:space="preserve"> specifically local</w:t>
      </w:r>
      <w:r w:rsidRPr="00720EBC">
        <w:t xml:space="preserve"> sea level rise </w:t>
      </w:r>
      <w:r>
        <w:t>projections</w:t>
      </w:r>
      <w:r w:rsidRPr="00720EBC">
        <w:t xml:space="preserve"> </w:t>
      </w:r>
    </w:p>
    <w:p w14:paraId="6ABD3A9E" w14:textId="6CF80ABD" w:rsidR="00C943AC" w:rsidRDefault="00C943AC" w:rsidP="00FF5CBF">
      <w:pPr>
        <w:pStyle w:val="ListBullet0"/>
        <w:numPr>
          <w:ilvl w:val="1"/>
          <w:numId w:val="45"/>
        </w:numPr>
      </w:pPr>
      <w:r>
        <w:t xml:space="preserve">changes </w:t>
      </w:r>
      <w:r w:rsidRPr="00720EBC">
        <w:t xml:space="preserve">coastal engineering methodology </w:t>
      </w:r>
    </w:p>
    <w:p w14:paraId="787EB7F4" w14:textId="77777777" w:rsidR="00C943AC" w:rsidRDefault="00C943AC" w:rsidP="00FF5CBF">
      <w:pPr>
        <w:pStyle w:val="ListBullet0"/>
        <w:numPr>
          <w:ilvl w:val="1"/>
          <w:numId w:val="45"/>
        </w:numPr>
      </w:pPr>
      <w:r w:rsidRPr="00720EBC">
        <w:t xml:space="preserve">changes to the </w:t>
      </w:r>
      <w:r>
        <w:t xml:space="preserve">CHRMAP </w:t>
      </w:r>
      <w:r w:rsidRPr="00720EBC">
        <w:t>success criteria</w:t>
      </w:r>
      <w:r>
        <w:t xml:space="preserve"> by coastal land managers</w:t>
      </w:r>
    </w:p>
    <w:p w14:paraId="5180F965" w14:textId="0F9E21E6" w:rsidR="00C943AC" w:rsidRPr="00720EBC" w:rsidRDefault="00C943AC" w:rsidP="00FF5CBF">
      <w:pPr>
        <w:pStyle w:val="ListBullet0"/>
        <w:numPr>
          <w:ilvl w:val="1"/>
          <w:numId w:val="45"/>
        </w:numPr>
      </w:pPr>
      <w:r w:rsidRPr="00720EBC">
        <w:t xml:space="preserve">triggers </w:t>
      </w:r>
      <w:r>
        <w:t xml:space="preserve">are </w:t>
      </w:r>
      <w:r w:rsidRPr="00720EBC">
        <w:t xml:space="preserve">reached. </w:t>
      </w:r>
    </w:p>
    <w:p w14:paraId="5BEC7833" w14:textId="77777777" w:rsidR="00C943AC" w:rsidRDefault="00C943AC" w:rsidP="00C943AC">
      <w:pPr>
        <w:pStyle w:val="BodyText"/>
      </w:pPr>
      <w:r>
        <w:t xml:space="preserve">Ongoing coastal management operations within the study area should </w:t>
      </w:r>
      <w:r w:rsidRPr="00720EBC">
        <w:t>consider the status of both short and long-term adaptation strategy progress, including assessment of the performance and review of any identified strategies</w:t>
      </w:r>
      <w:r>
        <w:t>.</w:t>
      </w:r>
    </w:p>
    <w:p w14:paraId="19CC1492" w14:textId="77777777" w:rsidR="00C943AC" w:rsidRPr="00792B38" w:rsidRDefault="00C943AC" w:rsidP="00C943AC">
      <w:pPr>
        <w:pStyle w:val="BodyText"/>
      </w:pPr>
      <w:r>
        <w:t>Monitoring of CHRMAP outcomes, actions and future updates should always include consultation with stakeholders and the community to make sure any changes are communicated, and that the stakeholders’ positions are reflected in the coastal management outcomes.</w:t>
      </w:r>
    </w:p>
    <w:p w14:paraId="067FFC5E" w14:textId="77777777" w:rsidR="00A435F7" w:rsidRDefault="00A435F7" w:rsidP="00FD05F6">
      <w:pPr>
        <w:pStyle w:val="Heading2"/>
      </w:pPr>
      <w:bookmarkStart w:id="307" w:name="_Toc164421020"/>
      <w:r>
        <w:t>Implementation Overview</w:t>
      </w:r>
      <w:bookmarkEnd w:id="307"/>
    </w:p>
    <w:p w14:paraId="2E30472B" w14:textId="77777777" w:rsidR="00C943AC" w:rsidRDefault="00C943AC" w:rsidP="00C943AC">
      <w:pPr>
        <w:pStyle w:val="BodyText"/>
      </w:pPr>
      <w:r w:rsidRPr="00154E9C">
        <w:t xml:space="preserve">The coastal adaptation pathway includes short-term, medium-term and long-term actions. Short-term actions are anticipated to </w:t>
      </w:r>
      <w:r w:rsidRPr="004C7E8F">
        <w:t xml:space="preserve">be implemented </w:t>
      </w:r>
      <w:r>
        <w:t>within the next 25 years</w:t>
      </w:r>
      <w:r w:rsidRPr="004C7E8F">
        <w:t xml:space="preserve">; medium-term actions implementation would occur </w:t>
      </w:r>
      <w:r>
        <w:t>between 25</w:t>
      </w:r>
      <w:r w:rsidRPr="004C7E8F">
        <w:t xml:space="preserve">-50 years; while long-term actions would be implemented beyond </w:t>
      </w:r>
      <w:r>
        <w:t xml:space="preserve">50 years </w:t>
      </w:r>
      <w:r w:rsidRPr="004C7E8F">
        <w:t xml:space="preserve">towards </w:t>
      </w:r>
      <w:r>
        <w:t>100 years’ time.</w:t>
      </w:r>
    </w:p>
    <w:p w14:paraId="0D271843" w14:textId="77777777" w:rsidR="00C943AC" w:rsidRPr="001C74F4" w:rsidRDefault="00C943AC" w:rsidP="00C943AC">
      <w:pPr>
        <w:pStyle w:val="BodyText"/>
        <w:rPr>
          <w:highlight w:val="yellow"/>
        </w:rPr>
      </w:pPr>
      <w:r>
        <w:t xml:space="preserve">Detailed implementation plans for each MU are </w:t>
      </w:r>
      <w:r w:rsidRPr="005E32D2">
        <w:t xml:space="preserve">presented in Section </w:t>
      </w:r>
      <w:r w:rsidRPr="005E32D2">
        <w:fldChar w:fldCharType="begin"/>
      </w:r>
      <w:r w:rsidRPr="005E32D2">
        <w:instrText xml:space="preserve"> REF _Ref163646690 \r \h </w:instrText>
      </w:r>
      <w:r>
        <w:instrText xml:space="preserve"> \* MERGEFORMAT </w:instrText>
      </w:r>
      <w:r w:rsidRPr="005E32D2">
        <w:fldChar w:fldCharType="separate"/>
      </w:r>
      <w:r w:rsidRPr="005E32D2">
        <w:t>8.8</w:t>
      </w:r>
      <w:r w:rsidRPr="005E32D2">
        <w:fldChar w:fldCharType="end"/>
      </w:r>
      <w:r w:rsidRPr="005E32D2">
        <w:t>. One or more Options have been recommended to proceed for further investigation and/or implementation for each MU for each of the coastal hazards - erosion and inundation. The recommendations have considered the CBA results holistically as well as being reliant on the findings of previous stages of the CHRMAP.</w:t>
      </w:r>
    </w:p>
    <w:p w14:paraId="2FDA7B70" w14:textId="77777777" w:rsidR="00C943AC" w:rsidRDefault="00C943AC" w:rsidP="00C943AC">
      <w:pPr>
        <w:pStyle w:val="BodyText"/>
      </w:pPr>
      <w:r>
        <w:t xml:space="preserve">The CHRMAP is a strategic planning document that considers long timeframes. While the CHRMAP provides a rationale for coastal hazard management, a substantial amount of preparatory work, detailed in the CHRMAP recommendations, is required before “on-the-ground implementation” can proceed. The next phase of research and studies should consider priority items in more detail. </w:t>
      </w:r>
      <w:r w:rsidRPr="005E32D2">
        <w:t>Long-term adaptation strategies/pathways have been recommended for erosion and inundation that will allow for the continuous function of local communities whilst accommodating the increasing burden of coastal hazards. The long-term strategy informs future planning instruments, supports monitoring, recommends planning reviews and underpins collaboration between coastal land managers, stakeholders and the community.</w:t>
      </w:r>
      <w:r>
        <w:t xml:space="preserve"> </w:t>
      </w:r>
    </w:p>
    <w:p w14:paraId="6BBE3AE5" w14:textId="265AC9D3" w:rsidR="00C943AC" w:rsidRPr="003A5BDA" w:rsidRDefault="00C943AC" w:rsidP="00C943AC">
      <w:pPr>
        <w:pStyle w:val="BodyText"/>
      </w:pPr>
      <w:r>
        <w:lastRenderedPageBreak/>
        <w:t>T</w:t>
      </w:r>
      <w:r w:rsidRPr="0043047B">
        <w:t>he</w:t>
      </w:r>
      <w:r>
        <w:t xml:space="preserve"> following</w:t>
      </w:r>
      <w:r w:rsidRPr="0043047B">
        <w:t xml:space="preserve"> recommendations are based on currently available information</w:t>
      </w:r>
      <w:r>
        <w:t>.</w:t>
      </w:r>
      <w:r w:rsidRPr="0043047B">
        <w:t xml:space="preserve"> </w:t>
      </w:r>
      <w:r w:rsidRPr="00CA357B">
        <w:t>Recommendations that are included in this document are made based on the assumptions provided throughout this document</w:t>
      </w:r>
      <w:r>
        <w:t xml:space="preserve"> (</w:t>
      </w:r>
      <w:r w:rsidRPr="00CA357B">
        <w:t xml:space="preserve">recognising the gaps in information that </w:t>
      </w:r>
      <w:r>
        <w:t>will</w:t>
      </w:r>
      <w:r w:rsidRPr="00CA357B">
        <w:t xml:space="preserve"> need to be resolved</w:t>
      </w:r>
      <w:r>
        <w:t>)</w:t>
      </w:r>
      <w:r w:rsidRPr="00CA357B">
        <w:t xml:space="preserve"> and a multi-criteria analysis based on technical, economic, social and environmental criteria. </w:t>
      </w:r>
      <w:r w:rsidR="00E372A0">
        <w:t>The recommendations encapsulate the preferred approach based on the available information, while being aware that assumptions need to be confirmed and more information and data collected.</w:t>
      </w:r>
    </w:p>
    <w:p w14:paraId="7BE660C5" w14:textId="77777777" w:rsidR="00C943AC" w:rsidRDefault="00C943AC" w:rsidP="00C943AC">
      <w:pPr>
        <w:pStyle w:val="BodyText"/>
      </w:pPr>
      <w:r>
        <w:t>F</w:t>
      </w:r>
      <w:r w:rsidRPr="0043047B">
        <w:t>uture investigations are required to confirm they are suitable</w:t>
      </w:r>
      <w:r>
        <w:t>, including</w:t>
      </w:r>
      <w:r w:rsidRPr="0043047B">
        <w:t xml:space="preserve"> further consultation with </w:t>
      </w:r>
      <w:r>
        <w:t xml:space="preserve">stakeholders and the community. The next step, following finalisation of this CHRMAP, is to confirm a program of investigative works over the short to medium term, to help inform the timing and scope of future investigations. Subsequently a likely outcome is that a </w:t>
      </w:r>
      <w:r w:rsidRPr="0043047B">
        <w:t xml:space="preserve">combination of options </w:t>
      </w:r>
      <w:r>
        <w:t>may be the preferred approach in some MU’s</w:t>
      </w:r>
      <w:r w:rsidRPr="0043047B">
        <w:t xml:space="preserve">. </w:t>
      </w:r>
      <w:r>
        <w:t>T</w:t>
      </w:r>
      <w:r w:rsidRPr="0043047B">
        <w:t xml:space="preserve">he recommendations are based on the </w:t>
      </w:r>
      <w:r>
        <w:t>analysis presented in this report. Additional considerations may be incorporated into future analyses</w:t>
      </w:r>
      <w:r w:rsidRPr="0043047B">
        <w:t xml:space="preserve">. </w:t>
      </w:r>
    </w:p>
    <w:p w14:paraId="501B4FE4" w14:textId="77777777" w:rsidR="00C943AC" w:rsidRDefault="00C943AC" w:rsidP="00C943AC">
      <w:pPr>
        <w:pStyle w:val="BodyText"/>
      </w:pPr>
      <w:r w:rsidRPr="00BA4644">
        <w:t xml:space="preserve">All recommendations still need further research. The CHRMAP provides the basis for which for the </w:t>
      </w:r>
      <w:r>
        <w:t xml:space="preserve">City </w:t>
      </w:r>
      <w:r w:rsidRPr="00BA4644">
        <w:t>may access grant funding to undertake this work; after which, recommendations may be updated, improved, or confirmed. This process requires ongoing engagement with affected communities.</w:t>
      </w:r>
    </w:p>
    <w:p w14:paraId="42D4AE14" w14:textId="77777777" w:rsidR="00C943AC" w:rsidRDefault="00C943AC" w:rsidP="00C943AC">
      <w:pPr>
        <w:pStyle w:val="BodyText"/>
      </w:pPr>
      <w:r>
        <w:t>Preferred pathways</w:t>
      </w:r>
      <w:r w:rsidRPr="0013518F">
        <w:t xml:space="preserve"> have been identified </w:t>
      </w:r>
      <w:r>
        <w:t xml:space="preserve">via </w:t>
      </w:r>
      <w:r w:rsidRPr="0013518F">
        <w:t xml:space="preserve">the most cost-effective option to implement </w:t>
      </w:r>
      <w:r>
        <w:t xml:space="preserve">them </w:t>
      </w:r>
      <w:r w:rsidRPr="0013518F">
        <w:t xml:space="preserve">based on available information. High-level concept design work has been undertaken to allow budget estimates. Further consideration of the local coastal processes, design and costs is required before these recommendations can be progressed to seek funding, environmental impact assessment and approvals / endorsement. Composite protection options may be effective for </w:t>
      </w:r>
      <w:r>
        <w:t>sections of the study area</w:t>
      </w:r>
      <w:r w:rsidRPr="0013518F">
        <w:t>. Further localised engagement is recommended through this process</w:t>
      </w:r>
      <w:r>
        <w:t xml:space="preserve"> as well as l</w:t>
      </w:r>
      <w:r w:rsidRPr="0013518F">
        <w:t xml:space="preserve">ocal monitoring of coastal processes, </w:t>
      </w:r>
      <w:r>
        <w:t xml:space="preserve">to </w:t>
      </w:r>
      <w:r w:rsidRPr="0013518F">
        <w:t>allow for more detailed consideration of options.</w:t>
      </w:r>
    </w:p>
    <w:p w14:paraId="7426FD58" w14:textId="77777777" w:rsidR="00C943AC" w:rsidRPr="00957822" w:rsidRDefault="00C943AC" w:rsidP="00C943AC">
      <w:pPr>
        <w:pStyle w:val="BodyText"/>
      </w:pPr>
      <w:r w:rsidRPr="00957822">
        <w:t xml:space="preserve">The two primary </w:t>
      </w:r>
      <w:r>
        <w:t>coastal management pathways for mitigating</w:t>
      </w:r>
      <w:r w:rsidRPr="00957822">
        <w:t xml:space="preserve"> </w:t>
      </w:r>
      <w:r w:rsidRPr="009E0A7B">
        <w:rPr>
          <w:b/>
          <w:bCs/>
        </w:rPr>
        <w:t>erosion hazards</w:t>
      </w:r>
      <w:r>
        <w:t xml:space="preserve"> at PRH</w:t>
      </w:r>
      <w:r w:rsidRPr="00957822">
        <w:t xml:space="preserve"> are</w:t>
      </w:r>
      <w:r>
        <w:t xml:space="preserve"> Planned / Managed Retreat and Protection. The specific details of these preferred pathways need to be confirmed following further data collection and analysis in the years ahead to make sure the best methods are used – further explanation is provided for each below</w:t>
      </w:r>
      <w:r w:rsidRPr="00957822">
        <w:t>:</w:t>
      </w:r>
    </w:p>
    <w:p w14:paraId="16D20F22" w14:textId="77777777" w:rsidR="00C943AC" w:rsidRPr="00FF52DF" w:rsidRDefault="00C943AC" w:rsidP="00A97817">
      <w:pPr>
        <w:pStyle w:val="ListBullet0"/>
        <w:numPr>
          <w:ilvl w:val="0"/>
          <w:numId w:val="60"/>
        </w:numPr>
        <w:rPr>
          <w:bCs/>
        </w:rPr>
      </w:pPr>
      <w:r w:rsidRPr="00FF52DF">
        <w:rPr>
          <w:bCs/>
        </w:rPr>
        <w:t xml:space="preserve">Planned / Managed retreat (PMR4 – Voluntary Acquisition): Use the planning instruments and long-term plan to systematically move assets with low adaptive capacity out of the hazard zone. </w:t>
      </w:r>
    </w:p>
    <w:p w14:paraId="139B5010" w14:textId="4EF77126" w:rsidR="00C943AC" w:rsidRPr="00FF52DF" w:rsidRDefault="00C943AC" w:rsidP="00A97817">
      <w:pPr>
        <w:pStyle w:val="ListBullet0"/>
        <w:numPr>
          <w:ilvl w:val="0"/>
          <w:numId w:val="60"/>
        </w:numPr>
        <w:rPr>
          <w:bCs/>
        </w:rPr>
      </w:pPr>
      <w:r w:rsidRPr="00FF52DF">
        <w:rPr>
          <w:bCs/>
        </w:rPr>
        <w:t>Protect (PR1 – Beach Renourishment): Undertake works as necessary to prevent erosion to assets. This is anticipated as relatively small scale works to maintain approximately the same level of beach and foreshore amenity currently experienced. If significant storm damage occurs or pre-emptive works are preferred larger scale works with additional foreshore vegetation rehabilitation could occur. If more frequent management works are undertaken the sandy beach could be rebuilt as required with small beach width amounts and volumes. Further investigations are required to complete relevant designs and identify the best sources of nourishment sand – these are presented in Section</w:t>
      </w:r>
      <w:r w:rsidR="00EE3192" w:rsidRPr="00FF52DF">
        <w:rPr>
          <w:bCs/>
        </w:rPr>
        <w:t xml:space="preserve"> </w:t>
      </w:r>
      <w:r w:rsidR="00EE3192" w:rsidRPr="00FF52DF">
        <w:rPr>
          <w:bCs/>
        </w:rPr>
        <w:fldChar w:fldCharType="begin"/>
      </w:r>
      <w:r w:rsidR="00EE3192" w:rsidRPr="00FF52DF">
        <w:rPr>
          <w:bCs/>
        </w:rPr>
        <w:instrText xml:space="preserve"> REF _Ref161826442 \n \h </w:instrText>
      </w:r>
      <w:r w:rsidR="001008B2" w:rsidRPr="00FF52DF">
        <w:rPr>
          <w:bCs/>
        </w:rPr>
        <w:instrText xml:space="preserve"> \* MERGEFORMAT </w:instrText>
      </w:r>
      <w:r w:rsidR="00EE3192" w:rsidRPr="00FF52DF">
        <w:rPr>
          <w:bCs/>
        </w:rPr>
      </w:r>
      <w:r w:rsidR="00EE3192" w:rsidRPr="00FF52DF">
        <w:rPr>
          <w:bCs/>
        </w:rPr>
        <w:fldChar w:fldCharType="separate"/>
      </w:r>
      <w:r w:rsidR="00EE3192" w:rsidRPr="00FF52DF">
        <w:rPr>
          <w:bCs/>
        </w:rPr>
        <w:t>8.6.2</w:t>
      </w:r>
      <w:r w:rsidR="00EE3192" w:rsidRPr="00FF52DF">
        <w:rPr>
          <w:bCs/>
        </w:rPr>
        <w:fldChar w:fldCharType="end"/>
      </w:r>
      <w:r w:rsidRPr="00FF52DF">
        <w:rPr>
          <w:bCs/>
        </w:rPr>
        <w:t>.</w:t>
      </w:r>
    </w:p>
    <w:p w14:paraId="485B3EF1" w14:textId="77777777" w:rsidR="00C943AC" w:rsidRDefault="00C943AC" w:rsidP="00C943AC">
      <w:pPr>
        <w:pStyle w:val="BodyText"/>
      </w:pPr>
      <w:r>
        <w:rPr>
          <w:noProof/>
        </w:rPr>
        <w:lastRenderedPageBreak/>
        <w:drawing>
          <wp:inline distT="0" distB="0" distL="0" distR="0" wp14:anchorId="74D1C3D3" wp14:editId="2E5272DC">
            <wp:extent cx="6120130" cy="3327991"/>
            <wp:effectExtent l="0" t="0" r="0" b="6350"/>
            <wp:docPr id="599302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3">
                      <a:extLst>
                        <a:ext uri="{28A0092B-C50C-407E-A947-70E740481C1C}">
                          <a14:useLocalDpi xmlns:a14="http://schemas.microsoft.com/office/drawing/2010/main" val="0"/>
                        </a:ext>
                      </a:extLst>
                    </a:blip>
                    <a:srcRect b="27491"/>
                    <a:stretch/>
                  </pic:blipFill>
                  <pic:spPr bwMode="auto">
                    <a:xfrm>
                      <a:off x="0" y="0"/>
                      <a:ext cx="6120130" cy="3327991"/>
                    </a:xfrm>
                    <a:prstGeom prst="rect">
                      <a:avLst/>
                    </a:prstGeom>
                    <a:noFill/>
                    <a:ln>
                      <a:noFill/>
                    </a:ln>
                    <a:extLst>
                      <a:ext uri="{53640926-AAD7-44D8-BBD7-CCE9431645EC}">
                        <a14:shadowObscured xmlns:a14="http://schemas.microsoft.com/office/drawing/2010/main"/>
                      </a:ext>
                    </a:extLst>
                  </pic:spPr>
                </pic:pic>
              </a:graphicData>
            </a:graphic>
          </wp:inline>
        </w:drawing>
      </w:r>
    </w:p>
    <w:p w14:paraId="6F8A882D" w14:textId="04E974C6" w:rsidR="00C943AC" w:rsidRDefault="00C943AC" w:rsidP="00C943AC">
      <w:pPr>
        <w:pStyle w:val="FigureCaption"/>
      </w:pPr>
      <w:bookmarkStart w:id="308" w:name="_Toc162510057"/>
      <w:bookmarkStart w:id="309" w:name="_Toc164411269"/>
      <w:r>
        <w:t>Figure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Figure \* ARABIC \s 1 </w:instrText>
      </w:r>
      <w:r w:rsidR="008647EF">
        <w:fldChar w:fldCharType="separate"/>
      </w:r>
      <w:r w:rsidR="008647EF">
        <w:rPr>
          <w:noProof/>
        </w:rPr>
        <w:t>1</w:t>
      </w:r>
      <w:r w:rsidR="008647EF">
        <w:fldChar w:fldCharType="end"/>
      </w:r>
      <w:r>
        <w:tab/>
        <w:t>Beach nourishment underway at Sunshine Coast, QLD</w:t>
      </w:r>
      <w:bookmarkEnd w:id="308"/>
      <w:bookmarkEnd w:id="309"/>
    </w:p>
    <w:p w14:paraId="30972461" w14:textId="77777777" w:rsidR="00C943AC" w:rsidRDefault="00C943AC" w:rsidP="00C943AC">
      <w:pPr>
        <w:pStyle w:val="BodyText"/>
      </w:pPr>
      <w:r>
        <w:t xml:space="preserve">The two </w:t>
      </w:r>
      <w:r w:rsidRPr="005F3DDC">
        <w:t xml:space="preserve">coastal management actions mitigating </w:t>
      </w:r>
      <w:r w:rsidRPr="009E0A7B">
        <w:rPr>
          <w:b/>
          <w:bCs/>
        </w:rPr>
        <w:t>inundation hazards</w:t>
      </w:r>
      <w:r w:rsidRPr="005F3DDC">
        <w:t xml:space="preserve"> </w:t>
      </w:r>
      <w:r>
        <w:t>at PRH</w:t>
      </w:r>
      <w:r w:rsidRPr="00957822">
        <w:t xml:space="preserve"> </w:t>
      </w:r>
      <w:r>
        <w:t>are Accommodate and Protection. The specific details of these preferred pathways need to be confirmed following further data collection and analysis in the years ahead to make sure the best methods are used – further explanation is provided for each below:</w:t>
      </w:r>
    </w:p>
    <w:p w14:paraId="3E4FC3F5" w14:textId="77777777" w:rsidR="00C943AC" w:rsidRPr="00FF52DF" w:rsidRDefault="00C943AC" w:rsidP="00A97817">
      <w:pPr>
        <w:pStyle w:val="ListBullet0"/>
        <w:numPr>
          <w:ilvl w:val="0"/>
          <w:numId w:val="60"/>
        </w:numPr>
        <w:rPr>
          <w:bCs/>
        </w:rPr>
      </w:pPr>
      <w:r w:rsidRPr="00FF52DF">
        <w:rPr>
          <w:bCs/>
        </w:rPr>
        <w:t>Accommodate (Design assets to withstand impacts – AC1): limit damage from inundation events through finished floor level requirements. This option increases resilience but is often not suitable as an isolated pathway.</w:t>
      </w:r>
    </w:p>
    <w:p w14:paraId="1A36AB7F" w14:textId="4AF5C4F8" w:rsidR="00C943AC" w:rsidRPr="00FF52DF" w:rsidRDefault="00C943AC" w:rsidP="00FF5CBF">
      <w:pPr>
        <w:pStyle w:val="ListBullet0"/>
        <w:numPr>
          <w:ilvl w:val="0"/>
          <w:numId w:val="46"/>
        </w:numPr>
        <w:rPr>
          <w:bCs/>
        </w:rPr>
      </w:pPr>
      <w:r w:rsidRPr="00FF52DF">
        <w:rPr>
          <w:bCs/>
        </w:rPr>
        <w:t xml:space="preserve">Protect (Levee / Barrier – PR6): Undertake works as necessary to prevent or limit inundation of assets exposed along the coast. Future design work would need to confirm dimensions, toe design, surface treatments, necessity for a crest trafficable via vehicles, varying cross-section designs for different locations. </w:t>
      </w:r>
      <w:r w:rsidRPr="00FF52DF">
        <w:rPr>
          <w:bCs/>
        </w:rPr>
        <w:fldChar w:fldCharType="begin"/>
      </w:r>
      <w:r w:rsidRPr="00FF52DF">
        <w:rPr>
          <w:bCs/>
        </w:rPr>
        <w:instrText xml:space="preserve"> REF _Ref161906947 \h </w:instrText>
      </w:r>
      <w:r w:rsidR="001008B2" w:rsidRPr="00FF52DF">
        <w:rPr>
          <w:bCs/>
        </w:rPr>
        <w:instrText xml:space="preserve"> \* MERGEFORMAT </w:instrText>
      </w:r>
      <w:r w:rsidRPr="00FF52DF">
        <w:rPr>
          <w:bCs/>
        </w:rPr>
      </w:r>
      <w:r w:rsidRPr="00FF52DF">
        <w:rPr>
          <w:bCs/>
        </w:rPr>
        <w:fldChar w:fldCharType="separate"/>
      </w:r>
      <w:r w:rsidRPr="00FF52DF">
        <w:rPr>
          <w:bCs/>
        </w:rPr>
        <w:t>Figure 8</w:t>
      </w:r>
      <w:r w:rsidRPr="00FF52DF">
        <w:rPr>
          <w:bCs/>
        </w:rPr>
        <w:noBreakHyphen/>
        <w:t>2</w:t>
      </w:r>
      <w:r w:rsidRPr="00FF52DF">
        <w:rPr>
          <w:bCs/>
        </w:rPr>
        <w:fldChar w:fldCharType="end"/>
      </w:r>
      <w:r w:rsidRPr="00FF52DF">
        <w:rPr>
          <w:bCs/>
        </w:rPr>
        <w:t xml:space="preserve"> and </w:t>
      </w:r>
      <w:r w:rsidRPr="00FF52DF">
        <w:rPr>
          <w:bCs/>
        </w:rPr>
        <w:fldChar w:fldCharType="begin"/>
      </w:r>
      <w:r w:rsidRPr="00FF52DF">
        <w:rPr>
          <w:bCs/>
        </w:rPr>
        <w:instrText xml:space="preserve"> REF _Ref161906965 \h </w:instrText>
      </w:r>
      <w:r w:rsidR="001008B2" w:rsidRPr="00FF52DF">
        <w:rPr>
          <w:bCs/>
        </w:rPr>
        <w:instrText xml:space="preserve"> \* MERGEFORMAT </w:instrText>
      </w:r>
      <w:r w:rsidRPr="00FF52DF">
        <w:rPr>
          <w:bCs/>
        </w:rPr>
      </w:r>
      <w:r w:rsidRPr="00FF52DF">
        <w:rPr>
          <w:bCs/>
        </w:rPr>
        <w:fldChar w:fldCharType="separate"/>
      </w:r>
      <w:r w:rsidRPr="00FF52DF">
        <w:rPr>
          <w:bCs/>
        </w:rPr>
        <w:t>Figure 8</w:t>
      </w:r>
      <w:r w:rsidRPr="00FF52DF">
        <w:rPr>
          <w:bCs/>
        </w:rPr>
        <w:noBreakHyphen/>
        <w:t>3</w:t>
      </w:r>
      <w:r w:rsidRPr="00FF52DF">
        <w:rPr>
          <w:bCs/>
        </w:rPr>
        <w:fldChar w:fldCharType="end"/>
      </w:r>
      <w:r w:rsidRPr="00FF52DF">
        <w:rPr>
          <w:bCs/>
        </w:rPr>
        <w:t xml:space="preserve"> provide an indication of similar structure. For this concept design phase, the permanent earthen levees were allowed for with the following details:</w:t>
      </w:r>
    </w:p>
    <w:p w14:paraId="558B1E39" w14:textId="77777777" w:rsidR="00C943AC" w:rsidRPr="006E2894" w:rsidRDefault="00C943AC" w:rsidP="00FF5CBF">
      <w:pPr>
        <w:pStyle w:val="ListBullet0"/>
        <w:numPr>
          <w:ilvl w:val="1"/>
          <w:numId w:val="46"/>
        </w:numPr>
      </w:pPr>
      <w:r w:rsidRPr="006E2894">
        <w:t>Base width of 13m</w:t>
      </w:r>
    </w:p>
    <w:p w14:paraId="55135329" w14:textId="77777777" w:rsidR="00C943AC" w:rsidRPr="006E2894" w:rsidRDefault="00C943AC" w:rsidP="00FF5CBF">
      <w:pPr>
        <w:pStyle w:val="ListBullet0"/>
        <w:numPr>
          <w:ilvl w:val="1"/>
          <w:numId w:val="46"/>
        </w:numPr>
      </w:pPr>
      <w:r w:rsidRPr="006E2894">
        <w:t>Crest width of 1m</w:t>
      </w:r>
    </w:p>
    <w:p w14:paraId="616A3FA8" w14:textId="77777777" w:rsidR="00C943AC" w:rsidRPr="006E2894" w:rsidRDefault="00C943AC" w:rsidP="00FF5CBF">
      <w:pPr>
        <w:pStyle w:val="ListBullet0"/>
        <w:numPr>
          <w:ilvl w:val="1"/>
          <w:numId w:val="46"/>
        </w:numPr>
      </w:pPr>
      <w:r w:rsidRPr="006E2894">
        <w:t>Height of 2m</w:t>
      </w:r>
    </w:p>
    <w:p w14:paraId="44190239" w14:textId="77777777" w:rsidR="00C943AC" w:rsidRPr="006E2894" w:rsidRDefault="00C943AC" w:rsidP="00FF5CBF">
      <w:pPr>
        <w:pStyle w:val="ListBullet0"/>
        <w:numPr>
          <w:ilvl w:val="1"/>
          <w:numId w:val="46"/>
        </w:numPr>
      </w:pPr>
      <w:r w:rsidRPr="006E2894">
        <w:t>Slope at 1V:3H</w:t>
      </w:r>
    </w:p>
    <w:p w14:paraId="0E7717A8" w14:textId="77777777" w:rsidR="00C943AC" w:rsidRDefault="00C943AC" w:rsidP="00FF5CBF">
      <w:pPr>
        <w:pStyle w:val="ListBullet0"/>
        <w:numPr>
          <w:ilvl w:val="1"/>
          <w:numId w:val="46"/>
        </w:numPr>
      </w:pPr>
      <w:r w:rsidRPr="006E2894">
        <w:t>Surfacing of grass / revegetation</w:t>
      </w:r>
    </w:p>
    <w:p w14:paraId="533F4CCF" w14:textId="77777777" w:rsidR="00C943AC" w:rsidRDefault="00C943AC" w:rsidP="00C943AC">
      <w:pPr>
        <w:pStyle w:val="FigureStyle"/>
        <w:rPr>
          <w:rFonts w:eastAsiaTheme="minorHAnsi" w:cstheme="minorBidi"/>
          <w:szCs w:val="22"/>
          <w:lang w:eastAsia="en-US"/>
        </w:rPr>
      </w:pPr>
      <w:r>
        <w:rPr>
          <w:noProof/>
        </w:rPr>
        <w:lastRenderedPageBreak/>
        <w:drawing>
          <wp:inline distT="0" distB="0" distL="0" distR="0" wp14:anchorId="2C0D297B" wp14:editId="0FFD1912">
            <wp:extent cx="6060558" cy="2353829"/>
            <wp:effectExtent l="0" t="0" r="0" b="8890"/>
            <wp:docPr id="1767949337" name="Picture 1" descr="A cartoon of a person standing in a dirt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949337" name="Picture 1" descr="A cartoon of a person standing in a dirt hill&#10;&#10;Description automatically generated"/>
                    <pic:cNvPicPr/>
                  </pic:nvPicPr>
                  <pic:blipFill rotWithShape="1">
                    <a:blip r:embed="rId64"/>
                    <a:srcRect l="904"/>
                    <a:stretch/>
                  </pic:blipFill>
                  <pic:spPr bwMode="auto">
                    <a:xfrm>
                      <a:off x="0" y="0"/>
                      <a:ext cx="6099015" cy="2368765"/>
                    </a:xfrm>
                    <a:prstGeom prst="rect">
                      <a:avLst/>
                    </a:prstGeom>
                    <a:ln>
                      <a:noFill/>
                    </a:ln>
                    <a:extLst>
                      <a:ext uri="{53640926-AAD7-44D8-BBD7-CCE9431645EC}">
                        <a14:shadowObscured xmlns:a14="http://schemas.microsoft.com/office/drawing/2010/main"/>
                      </a:ext>
                    </a:extLst>
                  </pic:spPr>
                </pic:pic>
              </a:graphicData>
            </a:graphic>
          </wp:inline>
        </w:drawing>
      </w:r>
    </w:p>
    <w:p w14:paraId="3E728155" w14:textId="0282BFDE" w:rsidR="00C943AC" w:rsidRDefault="00C943AC" w:rsidP="00C943AC">
      <w:pPr>
        <w:pStyle w:val="FigureCaption"/>
      </w:pPr>
      <w:bookmarkStart w:id="310" w:name="_Ref161906947"/>
      <w:bookmarkStart w:id="311" w:name="_Toc162510058"/>
      <w:bookmarkStart w:id="312" w:name="_Toc164411270"/>
      <w:r>
        <w:t>Figure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Figure \* ARABIC \s 1 </w:instrText>
      </w:r>
      <w:r w:rsidR="008647EF">
        <w:fldChar w:fldCharType="separate"/>
      </w:r>
      <w:r w:rsidR="008647EF">
        <w:rPr>
          <w:noProof/>
        </w:rPr>
        <w:t>2</w:t>
      </w:r>
      <w:r w:rsidR="008647EF">
        <w:fldChar w:fldCharType="end"/>
      </w:r>
      <w:bookmarkEnd w:id="310"/>
      <w:r>
        <w:tab/>
        <w:t>Typical earth levee design, (SES 2022)</w:t>
      </w:r>
      <w:bookmarkEnd w:id="311"/>
      <w:bookmarkEnd w:id="312"/>
    </w:p>
    <w:p w14:paraId="49D87571" w14:textId="77777777" w:rsidR="00C943AC" w:rsidRDefault="00C943AC" w:rsidP="00C943AC">
      <w:pPr>
        <w:pStyle w:val="FigureStyle"/>
        <w:rPr>
          <w:rFonts w:eastAsiaTheme="minorHAnsi" w:cstheme="minorBidi"/>
          <w:szCs w:val="22"/>
          <w:lang w:eastAsia="en-US"/>
        </w:rPr>
      </w:pPr>
      <w:r>
        <w:rPr>
          <w:noProof/>
        </w:rPr>
        <w:drawing>
          <wp:inline distT="0" distB="0" distL="0" distR="0" wp14:anchorId="7BB782A7" wp14:editId="4A1C4CEF">
            <wp:extent cx="6092456" cy="4239237"/>
            <wp:effectExtent l="0" t="0" r="3810" b="9525"/>
            <wp:docPr id="1254905909" name="Picture 1" descr="A long shot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86099" name="Picture 1" descr="A long shot of a road&#10;&#10;Description automatically generated"/>
                    <pic:cNvPicPr/>
                  </pic:nvPicPr>
                  <pic:blipFill>
                    <a:blip r:embed="rId65"/>
                    <a:stretch>
                      <a:fillRect/>
                    </a:stretch>
                  </pic:blipFill>
                  <pic:spPr>
                    <a:xfrm>
                      <a:off x="0" y="0"/>
                      <a:ext cx="6113531" cy="4253901"/>
                    </a:xfrm>
                    <a:prstGeom prst="rect">
                      <a:avLst/>
                    </a:prstGeom>
                  </pic:spPr>
                </pic:pic>
              </a:graphicData>
            </a:graphic>
          </wp:inline>
        </w:drawing>
      </w:r>
    </w:p>
    <w:p w14:paraId="101E488B" w14:textId="51E46BE3" w:rsidR="00C943AC" w:rsidRDefault="00C943AC" w:rsidP="00C943AC">
      <w:pPr>
        <w:pStyle w:val="FigureCaption"/>
      </w:pPr>
      <w:bookmarkStart w:id="313" w:name="_Ref161906965"/>
      <w:bookmarkStart w:id="314" w:name="_Toc162510059"/>
      <w:bookmarkStart w:id="315" w:name="_Toc164411271"/>
      <w:r>
        <w:t>Figure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Figure \* ARABIC \s 1 </w:instrText>
      </w:r>
      <w:r w:rsidR="008647EF">
        <w:fldChar w:fldCharType="separate"/>
      </w:r>
      <w:r w:rsidR="008647EF">
        <w:rPr>
          <w:noProof/>
        </w:rPr>
        <w:t>3</w:t>
      </w:r>
      <w:r w:rsidR="008647EF">
        <w:fldChar w:fldCharType="end"/>
      </w:r>
      <w:bookmarkEnd w:id="313"/>
      <w:r>
        <w:tab/>
        <w:t>Earth levee example from the Netherlands (California Water Blog, 2015)</w:t>
      </w:r>
      <w:bookmarkEnd w:id="314"/>
      <w:bookmarkEnd w:id="315"/>
    </w:p>
    <w:p w14:paraId="33ADD870" w14:textId="4C3C6708" w:rsidR="00A435F7" w:rsidRDefault="00A435F7" w:rsidP="00FD05F6">
      <w:pPr>
        <w:pStyle w:val="Heading2"/>
      </w:pPr>
      <w:bookmarkStart w:id="316" w:name="_Toc164421021"/>
      <w:r>
        <w:t>Short-term Implementation</w:t>
      </w:r>
      <w:bookmarkEnd w:id="316"/>
    </w:p>
    <w:p w14:paraId="72F95E72" w14:textId="77777777" w:rsidR="005A005B" w:rsidRPr="00154E9C" w:rsidRDefault="005A005B" w:rsidP="005A005B">
      <w:pPr>
        <w:spacing w:before="180" w:after="120" w:line="264" w:lineRule="auto"/>
        <w:jc w:val="both"/>
        <w:rPr>
          <w:rFonts w:eastAsia="Times New Roman" w:cs="Times New Roman"/>
          <w:szCs w:val="24"/>
          <w:lang w:eastAsia="en-AU"/>
        </w:rPr>
      </w:pPr>
      <w:r>
        <w:rPr>
          <w:rFonts w:eastAsia="Times New Roman" w:cs="Times New Roman"/>
          <w:szCs w:val="24"/>
          <w:lang w:eastAsia="en-AU"/>
        </w:rPr>
        <w:t>S</w:t>
      </w:r>
      <w:r w:rsidRPr="00154E9C">
        <w:rPr>
          <w:rFonts w:eastAsia="Times New Roman" w:cs="Times New Roman"/>
          <w:szCs w:val="24"/>
          <w:lang w:eastAsia="en-AU"/>
        </w:rPr>
        <w:t>hort-term coastal management actions</w:t>
      </w:r>
      <w:r>
        <w:rPr>
          <w:rFonts w:eastAsia="Times New Roman" w:cs="Times New Roman"/>
          <w:szCs w:val="24"/>
          <w:lang w:eastAsia="en-AU"/>
        </w:rPr>
        <w:t xml:space="preserve"> (i.e., “Options”)</w:t>
      </w:r>
      <w:r w:rsidRPr="00154E9C">
        <w:rPr>
          <w:rFonts w:eastAsia="Times New Roman" w:cs="Times New Roman"/>
          <w:szCs w:val="24"/>
          <w:lang w:eastAsia="en-AU"/>
        </w:rPr>
        <w:t>, for each Management Unit include the following information:</w:t>
      </w:r>
    </w:p>
    <w:p w14:paraId="63A92942" w14:textId="77777777" w:rsidR="005A005B" w:rsidRPr="00154E9C" w:rsidRDefault="005A005B" w:rsidP="00A97817">
      <w:pPr>
        <w:pStyle w:val="ListBullet0"/>
        <w:numPr>
          <w:ilvl w:val="0"/>
          <w:numId w:val="60"/>
        </w:numPr>
      </w:pPr>
      <w:r>
        <w:t>Recommended risk treatment Option(s),</w:t>
      </w:r>
    </w:p>
    <w:p w14:paraId="6BA0ADE7" w14:textId="77777777" w:rsidR="005A005B" w:rsidRPr="00154E9C" w:rsidRDefault="005A005B" w:rsidP="00A97817">
      <w:pPr>
        <w:pStyle w:val="ListBullet0"/>
        <w:numPr>
          <w:ilvl w:val="0"/>
          <w:numId w:val="60"/>
        </w:numPr>
      </w:pPr>
      <w:r>
        <w:lastRenderedPageBreak/>
        <w:t>Responsibility – the entity will be the risk management owner,</w:t>
      </w:r>
    </w:p>
    <w:p w14:paraId="0E3C6A76" w14:textId="77777777" w:rsidR="005A005B" w:rsidRPr="00154E9C" w:rsidRDefault="005A005B" w:rsidP="00A97817">
      <w:pPr>
        <w:pStyle w:val="ListBullet0"/>
        <w:numPr>
          <w:ilvl w:val="0"/>
          <w:numId w:val="60"/>
        </w:numPr>
      </w:pPr>
      <w:r>
        <w:t>Planning timeframe,</w:t>
      </w:r>
    </w:p>
    <w:p w14:paraId="3ECCE7F1" w14:textId="77777777" w:rsidR="005A005B" w:rsidRPr="00154E9C" w:rsidRDefault="005A005B" w:rsidP="00A97817">
      <w:pPr>
        <w:pStyle w:val="ListBullet0"/>
        <w:numPr>
          <w:ilvl w:val="0"/>
          <w:numId w:val="60"/>
        </w:numPr>
      </w:pPr>
      <w:r>
        <w:t>Approvals required,</w:t>
      </w:r>
    </w:p>
    <w:p w14:paraId="55EACF6F" w14:textId="77777777" w:rsidR="005A005B" w:rsidRPr="00154E9C" w:rsidRDefault="005A005B" w:rsidP="00A97817">
      <w:pPr>
        <w:pStyle w:val="ListBullet0"/>
        <w:numPr>
          <w:ilvl w:val="0"/>
          <w:numId w:val="60"/>
        </w:numPr>
      </w:pPr>
      <w:r>
        <w:t>Inclusion of trigger points and their monitoring requirements into planning schemes,</w:t>
      </w:r>
    </w:p>
    <w:p w14:paraId="2C24A8B9" w14:textId="77777777" w:rsidR="005A005B" w:rsidRPr="00154E9C" w:rsidRDefault="005A005B" w:rsidP="00A97817">
      <w:pPr>
        <w:pStyle w:val="ListBullet0"/>
        <w:numPr>
          <w:ilvl w:val="0"/>
          <w:numId w:val="60"/>
        </w:numPr>
      </w:pPr>
      <w:r>
        <w:t>Costs, and</w:t>
      </w:r>
    </w:p>
    <w:p w14:paraId="15697B0E" w14:textId="77777777" w:rsidR="005A005B" w:rsidRPr="00154E9C" w:rsidRDefault="005A005B" w:rsidP="00A97817">
      <w:pPr>
        <w:pStyle w:val="ListBullet0"/>
        <w:numPr>
          <w:ilvl w:val="0"/>
          <w:numId w:val="60"/>
        </w:numPr>
      </w:pPr>
      <w:r>
        <w:t>Short-term actions were designed to be compatible with medium and long-term adaptation actions.</w:t>
      </w:r>
    </w:p>
    <w:p w14:paraId="0AA28442" w14:textId="77777777" w:rsidR="005A005B" w:rsidRDefault="005A005B" w:rsidP="005A005B">
      <w:pPr>
        <w:pStyle w:val="Heading3"/>
      </w:pPr>
      <w:bookmarkStart w:id="317" w:name="_Toc162518722"/>
      <w:bookmarkStart w:id="318" w:name="_Toc164421022"/>
      <w:r>
        <w:t>Key Assumptions</w:t>
      </w:r>
      <w:bookmarkEnd w:id="317"/>
      <w:bookmarkEnd w:id="318"/>
    </w:p>
    <w:p w14:paraId="17B885FC" w14:textId="77777777" w:rsidR="005A005B" w:rsidRDefault="005A005B" w:rsidP="005A005B">
      <w:pPr>
        <w:pStyle w:val="BodyText"/>
      </w:pPr>
      <w:r>
        <w:t>The timeframes envisaged in the coastal adaptation pathways are not absolute. These timeframes are related to the current state of local land planning, coastal processes knowledge and climate projections, as outlined in the CHRMAP. Therefore, the timeframes are typically not aligned on “worst-case” scenarios but instead consider risk-adjusted and/or consensus-based adjustments and quantifications. Other Options may be envisaged, particularly if land planning practices, coastal processes knowledge or climate projections are changed. Therefore, the implementation pathway will evolve overtime.</w:t>
      </w:r>
    </w:p>
    <w:p w14:paraId="1CF8DC41" w14:textId="77777777" w:rsidR="005A005B" w:rsidRDefault="005A005B" w:rsidP="005A005B">
      <w:pPr>
        <w:pStyle w:val="BodyText"/>
      </w:pPr>
      <w:r>
        <w:t>The Options have been selected based on information gathered through all the previous CHRMAP project stages. Although the Multi-Criteria Analysis and Cost Benefit Analysis have been key gateway decision points for selecting many Options. The preparation of the MCA and CBA required interpretation and approximations, particularly regarding the criteria and cost quantifications, and have limitations. Also, the proposed Options have been developed only at a conceptual level to draw comparisons between several Options.</w:t>
      </w:r>
    </w:p>
    <w:p w14:paraId="12267CF0" w14:textId="77777777" w:rsidR="005A005B" w:rsidRDefault="005A005B" w:rsidP="005A005B">
      <w:pPr>
        <w:pStyle w:val="BodyText"/>
      </w:pPr>
      <w:r>
        <w:t>The CHRMAP proposed Options should be the subject of further investigations, surveys, policy review, environmental impact investigation, development approval and authorities’ endorsement, local stakeholder and community engagement, preliminary design, detailed design, costing and any other applicable preparation work required prior to be implemented. The Options should be optimised and modified following such additional investigations.</w:t>
      </w:r>
    </w:p>
    <w:p w14:paraId="6993B610" w14:textId="77777777" w:rsidR="005A005B" w:rsidRDefault="005A005B" w:rsidP="005A005B">
      <w:pPr>
        <w:pStyle w:val="BodyText"/>
        <w:rPr>
          <w:lang w:eastAsia="en-US"/>
        </w:rPr>
      </w:pPr>
      <w:r>
        <w:t>An example of this could be changes to Management Unit boundaries, to optimise Option effectiveness and to reduce costs. It may also be practical to develop a staged implementation approach to some of these management actions to test their effectiveness and to refine design of subsequent stages (e.g., staged installation of a levee or prioritised beach nourishment works). Some interim management Options may also be progressed, such as the development of emergency evacuation procedures and systems, until inundation protection measures can be fully implemented.</w:t>
      </w:r>
    </w:p>
    <w:p w14:paraId="62BC6A76" w14:textId="77777777" w:rsidR="005A005B" w:rsidRDefault="005A005B" w:rsidP="005A005B">
      <w:pPr>
        <w:pStyle w:val="Heading3"/>
      </w:pPr>
      <w:bookmarkStart w:id="319" w:name="_Ref161826442"/>
      <w:bookmarkStart w:id="320" w:name="_Ref161834887"/>
      <w:bookmarkStart w:id="321" w:name="_Toc162518723"/>
      <w:bookmarkStart w:id="322" w:name="_Toc164421023"/>
      <w:r>
        <w:t>Further Investigations</w:t>
      </w:r>
      <w:bookmarkEnd w:id="319"/>
      <w:bookmarkEnd w:id="320"/>
      <w:bookmarkEnd w:id="321"/>
      <w:bookmarkEnd w:id="322"/>
    </w:p>
    <w:p w14:paraId="4FA6CA37" w14:textId="77777777" w:rsidR="002C5C2D" w:rsidRDefault="002C5C2D" w:rsidP="002C5C2D">
      <w:pPr>
        <w:pStyle w:val="BodyText"/>
      </w:pPr>
      <w:r>
        <w:t xml:space="preserve">Information gaps identified in the CHRMAP should be gathered early. Some of these gaps can be closed by the collection of data, as discussed previously in Section </w:t>
      </w:r>
      <w:r>
        <w:fldChar w:fldCharType="begin"/>
      </w:r>
      <w:r>
        <w:instrText xml:space="preserve"> REF _Ref163648323 \r \h </w:instrText>
      </w:r>
      <w:r>
        <w:fldChar w:fldCharType="separate"/>
      </w:r>
      <w:r>
        <w:t>8.4</w:t>
      </w:r>
      <w:r>
        <w:fldChar w:fldCharType="end"/>
      </w:r>
      <w:r>
        <w:t xml:space="preserve">. Other information gaps can be closed during the preliminary and/or detailed design phase when specific or detailed analysis of available data, information, modelling, and projections are carried out. </w:t>
      </w:r>
    </w:p>
    <w:p w14:paraId="4CA87D6A" w14:textId="77777777" w:rsidR="002C5C2D" w:rsidRDefault="002C5C2D" w:rsidP="002C5C2D">
      <w:pPr>
        <w:pStyle w:val="BodyText"/>
      </w:pPr>
      <w:r>
        <w:t>T</w:t>
      </w:r>
      <w:r w:rsidRPr="00707588">
        <w:t>he</w:t>
      </w:r>
      <w:r>
        <w:t xml:space="preserve"> CHRMAP recommended investigations</w:t>
      </w:r>
      <w:r w:rsidRPr="00707588">
        <w:t xml:space="preserve"> have been</w:t>
      </w:r>
      <w:r>
        <w:t xml:space="preserve"> scoped specifically to meet</w:t>
      </w:r>
      <w:r w:rsidRPr="00707588">
        <w:t xml:space="preserve"> coastal hazard planning elements </w:t>
      </w:r>
      <w:r>
        <w:t>introduced in the</w:t>
      </w:r>
      <w:r w:rsidRPr="00707588">
        <w:t xml:space="preserve"> State Coastal Planning Policy 2.6</w:t>
      </w:r>
      <w:r>
        <w:t xml:space="preserve">. Recommended investigations are presented in </w:t>
      </w:r>
      <w:r>
        <w:fldChar w:fldCharType="begin"/>
      </w:r>
      <w:r>
        <w:instrText xml:space="preserve"> REF _Ref161756032 \h </w:instrText>
      </w:r>
      <w:r>
        <w:fldChar w:fldCharType="separate"/>
      </w:r>
      <w:r>
        <w:t>Table </w:t>
      </w:r>
      <w:r>
        <w:rPr>
          <w:noProof/>
        </w:rPr>
        <w:t>9</w:t>
      </w:r>
      <w:r>
        <w:noBreakHyphen/>
      </w:r>
      <w:r>
        <w:rPr>
          <w:noProof/>
        </w:rPr>
        <w:t>1</w:t>
      </w:r>
      <w:r>
        <w:fldChar w:fldCharType="end"/>
      </w:r>
      <w:r>
        <w:t>.</w:t>
      </w:r>
    </w:p>
    <w:p w14:paraId="76E038C0" w14:textId="1839CB01" w:rsidR="002C5C2D" w:rsidRDefault="002C5C2D" w:rsidP="002C5C2D">
      <w:pPr>
        <w:pStyle w:val="TableCaption"/>
      </w:pPr>
      <w:bookmarkStart w:id="323" w:name="_Ref161756032"/>
      <w:bookmarkStart w:id="324" w:name="_Toc164411295"/>
      <w:r>
        <w:lastRenderedPageBreak/>
        <w:t>Table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5</w:t>
      </w:r>
      <w:r w:rsidR="008647EF">
        <w:fldChar w:fldCharType="end"/>
      </w:r>
      <w:bookmarkEnd w:id="323"/>
      <w:r>
        <w:tab/>
        <w:t>Recommended c</w:t>
      </w:r>
      <w:r w:rsidRPr="004C4505">
        <w:t xml:space="preserve">oastal </w:t>
      </w:r>
      <w:r>
        <w:t>investigations.</w:t>
      </w:r>
      <w:bookmarkEnd w:id="324"/>
    </w:p>
    <w:tbl>
      <w:tblPr>
        <w:tblStyle w:val="BlueTable"/>
        <w:tblW w:w="0" w:type="auto"/>
        <w:tblLook w:val="0620" w:firstRow="1" w:lastRow="0" w:firstColumn="0" w:lastColumn="0" w:noHBand="1" w:noVBand="1"/>
      </w:tblPr>
      <w:tblGrid>
        <w:gridCol w:w="1750"/>
        <w:gridCol w:w="5733"/>
        <w:gridCol w:w="1237"/>
        <w:gridCol w:w="908"/>
      </w:tblGrid>
      <w:tr w:rsidR="002C5C2D" w14:paraId="448BE55F" w14:textId="77777777" w:rsidTr="001355DB">
        <w:trPr>
          <w:cnfStyle w:val="100000000000" w:firstRow="1" w:lastRow="0" w:firstColumn="0" w:lastColumn="0" w:oddVBand="0" w:evenVBand="0" w:oddHBand="0" w:evenHBand="0" w:firstRowFirstColumn="0" w:firstRowLastColumn="0" w:lastRowFirstColumn="0" w:lastRowLastColumn="0"/>
          <w:cantSplit w:val="0"/>
        </w:trPr>
        <w:tc>
          <w:tcPr>
            <w:tcW w:w="0" w:type="auto"/>
          </w:tcPr>
          <w:p w14:paraId="12EE1783" w14:textId="77777777" w:rsidR="002C5C2D" w:rsidRDefault="002C5C2D" w:rsidP="001355DB">
            <w:pPr>
              <w:pStyle w:val="TableHeading"/>
            </w:pPr>
            <w:r>
              <w:t>Coastal Investigation</w:t>
            </w:r>
          </w:p>
        </w:tc>
        <w:tc>
          <w:tcPr>
            <w:tcW w:w="0" w:type="auto"/>
          </w:tcPr>
          <w:p w14:paraId="5308B682" w14:textId="77777777" w:rsidR="002C5C2D" w:rsidRDefault="002C5C2D" w:rsidP="001355DB">
            <w:pPr>
              <w:pStyle w:val="TableHeading"/>
            </w:pPr>
            <w:r>
              <w:t>Overview</w:t>
            </w:r>
          </w:p>
        </w:tc>
        <w:tc>
          <w:tcPr>
            <w:tcW w:w="0" w:type="auto"/>
          </w:tcPr>
          <w:p w14:paraId="104E82BB" w14:textId="77777777" w:rsidR="002C5C2D" w:rsidRDefault="002C5C2D" w:rsidP="001355DB">
            <w:pPr>
              <w:pStyle w:val="TableHeading"/>
            </w:pPr>
            <w:r>
              <w:t>Location</w:t>
            </w:r>
          </w:p>
        </w:tc>
        <w:tc>
          <w:tcPr>
            <w:tcW w:w="0" w:type="auto"/>
          </w:tcPr>
          <w:p w14:paraId="2EF9E9D2" w14:textId="77777777" w:rsidR="002C5C2D" w:rsidRDefault="002C5C2D" w:rsidP="001355DB">
            <w:pPr>
              <w:pStyle w:val="TableHeading"/>
            </w:pPr>
            <w:r>
              <w:t>Timing</w:t>
            </w:r>
          </w:p>
        </w:tc>
      </w:tr>
      <w:tr w:rsidR="002C5C2D" w14:paraId="04B10156" w14:textId="77777777" w:rsidTr="001355DB">
        <w:trPr>
          <w:cantSplit w:val="0"/>
        </w:trPr>
        <w:tc>
          <w:tcPr>
            <w:tcW w:w="0" w:type="auto"/>
            <w:vAlign w:val="center"/>
          </w:tcPr>
          <w:p w14:paraId="45EB3D4F" w14:textId="77777777" w:rsidR="002C5C2D" w:rsidRDefault="002C5C2D" w:rsidP="001355DB">
            <w:pPr>
              <w:pStyle w:val="TableText"/>
            </w:pPr>
            <w:bookmarkStart w:id="325" w:name="_Hlk163829359"/>
            <w:r>
              <w:t>Foreshore asset audit.</w:t>
            </w:r>
          </w:p>
        </w:tc>
        <w:tc>
          <w:tcPr>
            <w:tcW w:w="0" w:type="auto"/>
          </w:tcPr>
          <w:p w14:paraId="6C9BEAB2" w14:textId="77777777" w:rsidR="002C5C2D" w:rsidRDefault="002C5C2D" w:rsidP="001355DB">
            <w:pPr>
              <w:pStyle w:val="TableText"/>
            </w:pPr>
            <w:r>
              <w:t>Undertake a Foreshore Asset Audit in response to coastal hazard projections to 2047. The City should prepare an RFQ and engage a consultant to undertake an audit to identify existing infrastructure and recreational facilities in the coastal erosion and inundation hazard zone.</w:t>
            </w:r>
          </w:p>
          <w:p w14:paraId="34879731" w14:textId="77777777" w:rsidR="002C5C2D" w:rsidRDefault="002C5C2D" w:rsidP="001355DB">
            <w:pPr>
              <w:pStyle w:val="TableText"/>
            </w:pPr>
            <w:r>
              <w:t>The audit shall inform subsequent preparation of an Asset Management Plan to identify existing infrastructure and recreational facilities in the coastal erosion and inundation hazard zone and provides direction to:</w:t>
            </w:r>
          </w:p>
          <w:p w14:paraId="50BFF543" w14:textId="77777777" w:rsidR="002C5C2D" w:rsidRDefault="002C5C2D" w:rsidP="001355DB">
            <w:pPr>
              <w:pStyle w:val="TableText"/>
            </w:pPr>
            <w:r>
              <w:t>a.</w:t>
            </w:r>
            <w:r>
              <w:tab/>
              <w:t>Progressively relocate non-critical assets (PMR2) away from the coastal hazard zone once they reach the end of asset life or replace assets with suitably durable and/or sacrificial infrastructure. This may include vulnerable recreational car parks; recreational amenities such as public ablutions; barbeque/picnic/shade areas; playground and other recreational equipment; and access structures such as ramps, stairs and paths and fences, etc.</w:t>
            </w:r>
          </w:p>
          <w:p w14:paraId="6F30E999" w14:textId="77777777" w:rsidR="002C5C2D" w:rsidRDefault="002C5C2D" w:rsidP="001355DB">
            <w:pPr>
              <w:pStyle w:val="TableText"/>
            </w:pPr>
            <w:r>
              <w:t>b.</w:t>
            </w:r>
            <w:r>
              <w:tab/>
              <w:t>Plan for the relocation of critical service infrastructure outside of the coastal hazard zone once they reach the end of asset life, or at a minimum, modify the service infrastructure asset so that it does not run parallel to the coastline where possible and can be progressively removed when exposed to intolerable risk levels.</w:t>
            </w:r>
          </w:p>
        </w:tc>
        <w:tc>
          <w:tcPr>
            <w:tcW w:w="0" w:type="auto"/>
          </w:tcPr>
          <w:p w14:paraId="427E7FC1" w14:textId="77777777" w:rsidR="002C5C2D" w:rsidRDefault="002C5C2D" w:rsidP="001355DB">
            <w:pPr>
              <w:pStyle w:val="TableText"/>
            </w:pPr>
            <w:r>
              <w:t>All MU’s.</w:t>
            </w:r>
          </w:p>
        </w:tc>
        <w:tc>
          <w:tcPr>
            <w:tcW w:w="0" w:type="auto"/>
          </w:tcPr>
          <w:p w14:paraId="09F7DB9E" w14:textId="77777777" w:rsidR="002C5C2D" w:rsidRDefault="002C5C2D" w:rsidP="001355DB">
            <w:pPr>
              <w:pStyle w:val="TableText"/>
            </w:pPr>
            <w:r>
              <w:t>2025.</w:t>
            </w:r>
          </w:p>
        </w:tc>
      </w:tr>
      <w:tr w:rsidR="002C5C2D" w14:paraId="74A56C94" w14:textId="77777777" w:rsidTr="001355DB">
        <w:trPr>
          <w:cantSplit w:val="0"/>
        </w:trPr>
        <w:tc>
          <w:tcPr>
            <w:tcW w:w="0" w:type="auto"/>
            <w:vAlign w:val="center"/>
          </w:tcPr>
          <w:p w14:paraId="158CF7EB" w14:textId="77777777" w:rsidR="002C5C2D" w:rsidRDefault="002C5C2D" w:rsidP="001355DB">
            <w:pPr>
              <w:pStyle w:val="TableText"/>
            </w:pPr>
            <w:r>
              <w:t>Land leasebacks</w:t>
            </w:r>
          </w:p>
        </w:tc>
        <w:tc>
          <w:tcPr>
            <w:tcW w:w="0" w:type="auto"/>
            <w:vAlign w:val="center"/>
          </w:tcPr>
          <w:p w14:paraId="5C0FA446" w14:textId="77777777" w:rsidR="002C5C2D" w:rsidRDefault="002C5C2D" w:rsidP="001355DB">
            <w:pPr>
              <w:pStyle w:val="TableText"/>
            </w:pPr>
            <w:r w:rsidRPr="00CF0F38">
              <w:t>Investigate opportunities for leaseback of land and land swaps in the context of planned and managed retreat. Seek legal advice regarding the basis of agreements with landholders and whether opt-ins can be time constrained.</w:t>
            </w:r>
          </w:p>
        </w:tc>
        <w:tc>
          <w:tcPr>
            <w:tcW w:w="0" w:type="auto"/>
          </w:tcPr>
          <w:p w14:paraId="5F1DEA38" w14:textId="77777777" w:rsidR="002C5C2D" w:rsidRDefault="002C5C2D" w:rsidP="001355DB">
            <w:pPr>
              <w:pStyle w:val="TableText"/>
            </w:pPr>
            <w:r>
              <w:t>General across study area.</w:t>
            </w:r>
          </w:p>
        </w:tc>
        <w:tc>
          <w:tcPr>
            <w:tcW w:w="0" w:type="auto"/>
          </w:tcPr>
          <w:p w14:paraId="19AF498D" w14:textId="77777777" w:rsidR="002C5C2D" w:rsidRDefault="002C5C2D" w:rsidP="001355DB">
            <w:pPr>
              <w:pStyle w:val="TableText"/>
            </w:pPr>
            <w:r>
              <w:t>2025.</w:t>
            </w:r>
          </w:p>
        </w:tc>
      </w:tr>
      <w:tr w:rsidR="002C5C2D" w14:paraId="3914E42B" w14:textId="77777777" w:rsidTr="001355DB">
        <w:trPr>
          <w:cantSplit w:val="0"/>
        </w:trPr>
        <w:tc>
          <w:tcPr>
            <w:tcW w:w="0" w:type="auto"/>
          </w:tcPr>
          <w:p w14:paraId="0943591D" w14:textId="77777777" w:rsidR="002C5C2D" w:rsidRDefault="002C5C2D" w:rsidP="001355DB">
            <w:pPr>
              <w:pStyle w:val="TableText"/>
            </w:pPr>
            <w:r>
              <w:t>Sand source feasibility study.</w:t>
            </w:r>
          </w:p>
        </w:tc>
        <w:tc>
          <w:tcPr>
            <w:tcW w:w="0" w:type="auto"/>
          </w:tcPr>
          <w:p w14:paraId="77BE5E03" w14:textId="77777777" w:rsidR="002C5C2D" w:rsidRDefault="002C5C2D" w:rsidP="001355DB">
            <w:pPr>
              <w:pStyle w:val="TableText"/>
            </w:pPr>
            <w:r>
              <w:t>The City should prepare an RFQ and engage a consultant to investigate potential sand sources to use for coastal protection works.</w:t>
            </w:r>
          </w:p>
          <w:p w14:paraId="5D2986EF" w14:textId="77777777" w:rsidR="002C5C2D" w:rsidRDefault="002C5C2D" w:rsidP="001355DB">
            <w:pPr>
              <w:pStyle w:val="TableText"/>
            </w:pPr>
            <w:r w:rsidRPr="00CF0F38">
              <w:t>Several MU’s have recommended Options which require sand nourishment, both for erosion management and inundation management (levee construction). The availability of suitable sand for beach nourishment works is unfortunately not well understood in the study area. It is recommended that a sand source feasibility is undertaken to determine the capacity and cost of local sand supplies. This study should consider both land-based and marine sand sources as well as evaluate potential environmental impacts and approvals required. Cost estimates in this CHRMAP have assumed that a reliable source of sand in reasonable proximity to the study area may be available. If this assumption is incorrect, costs may increase and affect the CHRMAP recommendations.</w:t>
            </w:r>
          </w:p>
        </w:tc>
        <w:tc>
          <w:tcPr>
            <w:tcW w:w="0" w:type="auto"/>
          </w:tcPr>
          <w:p w14:paraId="1D2A63C1" w14:textId="77777777" w:rsidR="002C5C2D" w:rsidRDefault="002C5C2D" w:rsidP="001355DB">
            <w:pPr>
              <w:pStyle w:val="TableText"/>
            </w:pPr>
            <w:r>
              <w:t>All MU’s.</w:t>
            </w:r>
          </w:p>
        </w:tc>
        <w:tc>
          <w:tcPr>
            <w:tcW w:w="0" w:type="auto"/>
          </w:tcPr>
          <w:p w14:paraId="7E41B049" w14:textId="77777777" w:rsidR="002C5C2D" w:rsidRDefault="002C5C2D" w:rsidP="001355DB">
            <w:pPr>
              <w:pStyle w:val="TableText"/>
            </w:pPr>
            <w:r>
              <w:t>2025.</w:t>
            </w:r>
          </w:p>
        </w:tc>
      </w:tr>
      <w:tr w:rsidR="002C5C2D" w14:paraId="47B11453" w14:textId="77777777" w:rsidTr="001355DB">
        <w:trPr>
          <w:cantSplit w:val="0"/>
        </w:trPr>
        <w:tc>
          <w:tcPr>
            <w:tcW w:w="0" w:type="auto"/>
            <w:vAlign w:val="center"/>
          </w:tcPr>
          <w:p w14:paraId="71822501" w14:textId="77777777" w:rsidR="002C5C2D" w:rsidRDefault="002C5C2D" w:rsidP="001355DB">
            <w:pPr>
              <w:pStyle w:val="TableText"/>
            </w:pPr>
            <w:r w:rsidRPr="000856DF">
              <w:t>Emergency evacuation plan</w:t>
            </w:r>
            <w:r>
              <w:t>.</w:t>
            </w:r>
          </w:p>
        </w:tc>
        <w:tc>
          <w:tcPr>
            <w:tcW w:w="0" w:type="auto"/>
            <w:vAlign w:val="center"/>
          </w:tcPr>
          <w:p w14:paraId="28D279F8" w14:textId="77777777" w:rsidR="002C5C2D" w:rsidRDefault="002C5C2D" w:rsidP="001355DB">
            <w:pPr>
              <w:pStyle w:val="TableText"/>
            </w:pPr>
            <w:r>
              <w:t>The City should prepare an RFQ and engage a consultant to ensure that a preliminary emergency evacuation and response plan is prepared, maintained, and implemented to ensure the safe evacuation of occupants within the City during a severe coastal inundation event and/or severe erosion event.</w:t>
            </w:r>
          </w:p>
          <w:p w14:paraId="2D9DFA6F" w14:textId="77777777" w:rsidR="002C5C2D" w:rsidRDefault="002C5C2D" w:rsidP="001355DB">
            <w:pPr>
              <w:pStyle w:val="TableText"/>
            </w:pPr>
            <w:r w:rsidRPr="00CF0F38">
              <w:lastRenderedPageBreak/>
              <w:t>A review of emergency evacuation plans in the study area should be undertaken to assess if the evacuation plans are suitable for managing the projected coastal hazards. Existing documents may need to be updated or revised as required. Plans should detail emergency response to coastal erosion and flooding impacts, as well as storm damage causing infrastructure to collapse into the public foreshore or coastal environment. Evacuation planning for inundation should clearly identify appropriate evacuation routes, assess their suitability, and plan for upgrades required to meet future developments. Scenario planning could also be undertaken to test the plans.</w:t>
            </w:r>
          </w:p>
        </w:tc>
        <w:tc>
          <w:tcPr>
            <w:tcW w:w="0" w:type="auto"/>
          </w:tcPr>
          <w:p w14:paraId="209D37E9" w14:textId="77777777" w:rsidR="002C5C2D" w:rsidRDefault="002C5C2D" w:rsidP="001355DB">
            <w:pPr>
              <w:pStyle w:val="TableText"/>
            </w:pPr>
            <w:r>
              <w:lastRenderedPageBreak/>
              <w:t>All MU’s.</w:t>
            </w:r>
          </w:p>
        </w:tc>
        <w:tc>
          <w:tcPr>
            <w:tcW w:w="0" w:type="auto"/>
          </w:tcPr>
          <w:p w14:paraId="4A76B957" w14:textId="77777777" w:rsidR="002C5C2D" w:rsidRDefault="002C5C2D" w:rsidP="001355DB">
            <w:pPr>
              <w:pStyle w:val="TableText"/>
            </w:pPr>
            <w:r>
              <w:t>2026.</w:t>
            </w:r>
          </w:p>
        </w:tc>
      </w:tr>
      <w:tr w:rsidR="002C5C2D" w14:paraId="2C3C55B5" w14:textId="77777777" w:rsidTr="001355DB">
        <w:trPr>
          <w:cantSplit w:val="0"/>
        </w:trPr>
        <w:tc>
          <w:tcPr>
            <w:tcW w:w="0" w:type="auto"/>
          </w:tcPr>
          <w:p w14:paraId="6F658632" w14:textId="77777777" w:rsidR="002C5C2D" w:rsidRDefault="002C5C2D" w:rsidP="001355DB">
            <w:pPr>
              <w:pStyle w:val="TableText"/>
            </w:pPr>
            <w:r>
              <w:t>Update Foreshore Management Plans.</w:t>
            </w:r>
          </w:p>
        </w:tc>
        <w:tc>
          <w:tcPr>
            <w:tcW w:w="0" w:type="auto"/>
          </w:tcPr>
          <w:p w14:paraId="24DA2866" w14:textId="77777777" w:rsidR="002C5C2D" w:rsidRDefault="002C5C2D" w:rsidP="001355DB">
            <w:pPr>
              <w:pStyle w:val="TableText"/>
            </w:pPr>
            <w:r w:rsidRPr="00AF02B6">
              <w:t xml:space="preserve">The </w:t>
            </w:r>
            <w:r>
              <w:t xml:space="preserve">City </w:t>
            </w:r>
            <w:r w:rsidRPr="00AF02B6">
              <w:t xml:space="preserve">should </w:t>
            </w:r>
            <w:r>
              <w:t>prepare an RFQ and engage a consultant to prepare u</w:t>
            </w:r>
            <w:r w:rsidRPr="00DC602A">
              <w:t xml:space="preserve">pdated </w:t>
            </w:r>
            <w:r>
              <w:t>F</w:t>
            </w:r>
            <w:r w:rsidRPr="00DC602A">
              <w:t xml:space="preserve">oreshore </w:t>
            </w:r>
            <w:r>
              <w:t>M</w:t>
            </w:r>
            <w:r w:rsidRPr="00DC602A">
              <w:t xml:space="preserve">anagement </w:t>
            </w:r>
            <w:r>
              <w:t>P</w:t>
            </w:r>
            <w:r w:rsidRPr="00DC602A">
              <w:t>lans</w:t>
            </w:r>
            <w:r>
              <w:t xml:space="preserve"> (FMPs).</w:t>
            </w:r>
            <w:r w:rsidRPr="00DC602A">
              <w:t xml:space="preserve"> </w:t>
            </w:r>
            <w:r>
              <w:t xml:space="preserve">These can </w:t>
            </w:r>
            <w:r w:rsidRPr="00DC602A">
              <w:t xml:space="preserve">increase the protective capacity of the natural dune system </w:t>
            </w:r>
            <w:r>
              <w:t>and provide an avenue for increased awareness and education for stakeholders and the community about coastal processes and management.</w:t>
            </w:r>
          </w:p>
          <w:p w14:paraId="604C8AD3" w14:textId="77777777" w:rsidR="002C5C2D" w:rsidRDefault="002C5C2D" w:rsidP="001355DB">
            <w:pPr>
              <w:pStyle w:val="TableText"/>
            </w:pPr>
            <w:r>
              <w:t>Updated (FMPs) may increase the protective capacity of the natural dune system, and should address:</w:t>
            </w:r>
          </w:p>
          <w:p w14:paraId="73769C36" w14:textId="77777777" w:rsidR="002C5C2D" w:rsidRDefault="002C5C2D" w:rsidP="001355DB">
            <w:pPr>
              <w:pStyle w:val="TableBullet"/>
            </w:pPr>
            <w:r>
              <w:t>The requirements of SPP2.6 and its supporting documentation.</w:t>
            </w:r>
          </w:p>
          <w:p w14:paraId="2853C279" w14:textId="77777777" w:rsidR="002C5C2D" w:rsidRDefault="002C5C2D" w:rsidP="001355DB">
            <w:pPr>
              <w:pStyle w:val="TableBullet"/>
            </w:pPr>
            <w:r>
              <w:t>The findings of this CHRMAP.</w:t>
            </w:r>
          </w:p>
          <w:p w14:paraId="3058635D" w14:textId="77777777" w:rsidR="002C5C2D" w:rsidRDefault="002C5C2D" w:rsidP="001355DB">
            <w:pPr>
              <w:pStyle w:val="TableBullet"/>
            </w:pPr>
            <w:r>
              <w:t>Potential environmental issues such as biodiversity and environmental impacts and detail a weed management strategy for the coastline.</w:t>
            </w:r>
          </w:p>
          <w:p w14:paraId="49E8C498" w14:textId="77777777" w:rsidR="002C5C2D" w:rsidRDefault="002C5C2D" w:rsidP="001355DB">
            <w:pPr>
              <w:pStyle w:val="TableBullet"/>
            </w:pPr>
            <w:r>
              <w:t>Incorporate findings of Asset Management Plans as appropriate.</w:t>
            </w:r>
          </w:p>
          <w:p w14:paraId="01CAE4F2" w14:textId="77777777" w:rsidR="002C5C2D" w:rsidRDefault="002C5C2D" w:rsidP="001355DB">
            <w:pPr>
              <w:pStyle w:val="TableBullet"/>
            </w:pPr>
            <w:r>
              <w:t>Include review of existing beach access points, ensuring appropriately fenced and signed paths, signage for dune repair and clear signage for 4-wheel drive access and permissibility.</w:t>
            </w:r>
          </w:p>
          <w:p w14:paraId="5FBDD6B4" w14:textId="77777777" w:rsidR="002C5C2D" w:rsidRDefault="002C5C2D" w:rsidP="001355DB">
            <w:pPr>
              <w:pStyle w:val="TableBullet"/>
            </w:pPr>
            <w:r>
              <w:t>Develop an education strategy for coastal and environmental management. The strategy should work to inform the community about the CHRMAP and FMP and their findings and use suitable engagement methods such as infographics, FAQ’s. The education strategy should also include appropriate on-ground signage and information for beach access, camping and 4-wheel driving, where applicable.</w:t>
            </w:r>
          </w:p>
          <w:p w14:paraId="10E2997A" w14:textId="77777777" w:rsidR="002C5C2D" w:rsidRDefault="002C5C2D" w:rsidP="001355DB">
            <w:pPr>
              <w:pStyle w:val="TableBullet"/>
            </w:pPr>
            <w:r>
              <w:t>Monitor impacts of 4WD vehicles (where applicable) and general beach access on nesting habitats and migratory bird species in dune areas.</w:t>
            </w:r>
          </w:p>
          <w:p w14:paraId="60269EE2" w14:textId="77777777" w:rsidR="002C5C2D" w:rsidRDefault="002C5C2D" w:rsidP="001355DB">
            <w:pPr>
              <w:pStyle w:val="TableBullet"/>
            </w:pPr>
            <w:r>
              <w:t>Determine the need for a bush fire management plan for the dune and coastal areas.</w:t>
            </w:r>
          </w:p>
        </w:tc>
        <w:tc>
          <w:tcPr>
            <w:tcW w:w="0" w:type="auto"/>
          </w:tcPr>
          <w:p w14:paraId="44AA1B78" w14:textId="77777777" w:rsidR="002C5C2D" w:rsidRDefault="002C5C2D" w:rsidP="001355DB">
            <w:pPr>
              <w:pStyle w:val="TableText"/>
            </w:pPr>
            <w:r>
              <w:t>All MU’s.</w:t>
            </w:r>
          </w:p>
        </w:tc>
        <w:tc>
          <w:tcPr>
            <w:tcW w:w="0" w:type="auto"/>
          </w:tcPr>
          <w:p w14:paraId="4CEC9C7D" w14:textId="77777777" w:rsidR="002C5C2D" w:rsidRDefault="002C5C2D" w:rsidP="001355DB">
            <w:pPr>
              <w:pStyle w:val="TableText"/>
            </w:pPr>
            <w:r>
              <w:t>2026.</w:t>
            </w:r>
          </w:p>
        </w:tc>
      </w:tr>
      <w:tr w:rsidR="002C5C2D" w14:paraId="5F9CB6B6" w14:textId="77777777" w:rsidTr="001355DB">
        <w:trPr>
          <w:cantSplit w:val="0"/>
        </w:trPr>
        <w:tc>
          <w:tcPr>
            <w:tcW w:w="0" w:type="auto"/>
          </w:tcPr>
          <w:p w14:paraId="21B0C29E" w14:textId="77777777" w:rsidR="002C5C2D" w:rsidRDefault="002C5C2D" w:rsidP="001355DB">
            <w:pPr>
              <w:pStyle w:val="TableText"/>
            </w:pPr>
            <w:r>
              <w:t>Internal prioritisation of Management Units</w:t>
            </w:r>
          </w:p>
        </w:tc>
        <w:tc>
          <w:tcPr>
            <w:tcW w:w="0" w:type="auto"/>
          </w:tcPr>
          <w:p w14:paraId="1526F447" w14:textId="77777777" w:rsidR="002C5C2D" w:rsidRPr="00AF02B6" w:rsidRDefault="002C5C2D" w:rsidP="001355DB">
            <w:pPr>
              <w:pStyle w:val="TableText"/>
            </w:pPr>
            <w:r>
              <w:t xml:space="preserve">It is </w:t>
            </w:r>
            <w:r w:rsidRPr="0035302E">
              <w:t>recommend</w:t>
            </w:r>
            <w:r>
              <w:t xml:space="preserve">ed that further work is undertaken to identify priority sections of MU’s and </w:t>
            </w:r>
            <w:r w:rsidRPr="0035302E">
              <w:t>consider</w:t>
            </w:r>
            <w:r>
              <w:t xml:space="preserve"> the use</w:t>
            </w:r>
            <w:r w:rsidRPr="0035302E">
              <w:t xml:space="preserve"> of composite treatment</w:t>
            </w:r>
            <w:r>
              <w:t xml:space="preserve"> options in these MU’s.</w:t>
            </w:r>
            <w:r w:rsidRPr="0035302E">
              <w:t xml:space="preserve"> </w:t>
            </w:r>
            <w:r>
              <w:t>This may see some sections of the current MU’s being managed in different ways rather than one option for each MU. A</w:t>
            </w:r>
            <w:r w:rsidRPr="0035302E">
              <w:t xml:space="preserve">ppropriate supporting analysis </w:t>
            </w:r>
            <w:r>
              <w:t xml:space="preserve">is needed to propose preferred treatment options on smaller </w:t>
            </w:r>
            <w:r>
              <w:lastRenderedPageBreak/>
              <w:t>sections of coastline than the MU’s presented in this CHRMAP as the cost benefit analysis has considered these boundary extents and quantities</w:t>
            </w:r>
            <w:r w:rsidRPr="0035302E">
              <w:t>.</w:t>
            </w:r>
            <w:r>
              <w:t xml:space="preserve"> It is anticipated the current MU’s could be further </w:t>
            </w:r>
            <w:r w:rsidRPr="004F3387">
              <w:t xml:space="preserve">split </w:t>
            </w:r>
            <w:r>
              <w:t xml:space="preserve">based on the identified hazards, management jurisdiction, predominant foreshore use such as </w:t>
            </w:r>
            <w:r w:rsidRPr="004F3387">
              <w:t>urban, residential, undeveloped etc.</w:t>
            </w:r>
          </w:p>
        </w:tc>
        <w:tc>
          <w:tcPr>
            <w:tcW w:w="0" w:type="auto"/>
          </w:tcPr>
          <w:p w14:paraId="12760935" w14:textId="77777777" w:rsidR="002C5C2D" w:rsidRDefault="002C5C2D" w:rsidP="001355DB">
            <w:pPr>
              <w:pStyle w:val="TableText"/>
            </w:pPr>
            <w:r>
              <w:lastRenderedPageBreak/>
              <w:t>All MU’s.</w:t>
            </w:r>
          </w:p>
        </w:tc>
        <w:tc>
          <w:tcPr>
            <w:tcW w:w="0" w:type="auto"/>
          </w:tcPr>
          <w:p w14:paraId="554BFFAF" w14:textId="77777777" w:rsidR="002C5C2D" w:rsidRDefault="002C5C2D" w:rsidP="001355DB">
            <w:pPr>
              <w:pStyle w:val="TableText"/>
            </w:pPr>
            <w:r>
              <w:t>2027-2030</w:t>
            </w:r>
          </w:p>
        </w:tc>
      </w:tr>
      <w:tr w:rsidR="002C5C2D" w14:paraId="7FBC04AD" w14:textId="77777777" w:rsidTr="001355DB">
        <w:trPr>
          <w:cantSplit w:val="0"/>
        </w:trPr>
        <w:tc>
          <w:tcPr>
            <w:tcW w:w="0" w:type="auto"/>
          </w:tcPr>
          <w:p w14:paraId="1A1A51AA" w14:textId="77777777" w:rsidR="002C5C2D" w:rsidRDefault="002C5C2D" w:rsidP="001355DB">
            <w:pPr>
              <w:pStyle w:val="TableText"/>
            </w:pPr>
            <w:r>
              <w:t>Combining treatment of both hazards</w:t>
            </w:r>
          </w:p>
        </w:tc>
        <w:tc>
          <w:tcPr>
            <w:tcW w:w="0" w:type="auto"/>
          </w:tcPr>
          <w:p w14:paraId="7EBBAFA9" w14:textId="77777777" w:rsidR="002C5C2D" w:rsidRDefault="002C5C2D" w:rsidP="001355DB">
            <w:pPr>
              <w:pStyle w:val="TableText"/>
            </w:pPr>
            <w:r w:rsidRPr="00FB7DEA">
              <w:t xml:space="preserve">It is recommended </w:t>
            </w:r>
            <w:r>
              <w:t>f</w:t>
            </w:r>
            <w:r w:rsidRPr="00FB7DEA">
              <w:t xml:space="preserve">urther </w:t>
            </w:r>
            <w:r>
              <w:t xml:space="preserve">investigation is undertaken to consider the potential for </w:t>
            </w:r>
            <w:r w:rsidRPr="00FB7DEA">
              <w:t>dual-purpose treatment</w:t>
            </w:r>
            <w:r>
              <w:t xml:space="preserve"> options to address both erosion and inundation </w:t>
            </w:r>
            <w:r w:rsidRPr="002C131E">
              <w:t>hazard</w:t>
            </w:r>
            <w:r>
              <w:t>s</w:t>
            </w:r>
            <w:r w:rsidRPr="002C131E">
              <w:t>.</w:t>
            </w:r>
          </w:p>
          <w:p w14:paraId="014EDC7C" w14:textId="77777777" w:rsidR="002C5C2D" w:rsidRPr="00FB7DEA" w:rsidRDefault="002C5C2D" w:rsidP="001355DB">
            <w:pPr>
              <w:pStyle w:val="TableText"/>
            </w:pPr>
            <w:r>
              <w:t>Following p</w:t>
            </w:r>
            <w:r w:rsidRPr="00FB7DEA">
              <w:t xml:space="preserve">rioritisation, and decision-making by the City (post-CHRMAP) dual-purpose treatments could </w:t>
            </w:r>
            <w:r>
              <w:t xml:space="preserve">potentially </w:t>
            </w:r>
            <w:r w:rsidRPr="00FB7DEA">
              <w:t>be scoped and designed</w:t>
            </w:r>
            <w:r>
              <w:t xml:space="preserve"> that may be able to mitigate both hazards at the same time</w:t>
            </w:r>
            <w:r w:rsidRPr="00FB7DEA">
              <w:t>.</w:t>
            </w:r>
          </w:p>
        </w:tc>
        <w:tc>
          <w:tcPr>
            <w:tcW w:w="0" w:type="auto"/>
          </w:tcPr>
          <w:p w14:paraId="496D3EB6" w14:textId="77777777" w:rsidR="002C5C2D" w:rsidRDefault="002C5C2D" w:rsidP="001355DB">
            <w:pPr>
              <w:pStyle w:val="TableText"/>
            </w:pPr>
            <w:r>
              <w:t>All MU’s.</w:t>
            </w:r>
          </w:p>
        </w:tc>
        <w:tc>
          <w:tcPr>
            <w:tcW w:w="0" w:type="auto"/>
          </w:tcPr>
          <w:p w14:paraId="7F0BB8C3" w14:textId="77777777" w:rsidR="002C5C2D" w:rsidRDefault="002C5C2D" w:rsidP="001355DB">
            <w:pPr>
              <w:pStyle w:val="TableText"/>
            </w:pPr>
            <w:r>
              <w:t>2027-2030</w:t>
            </w:r>
          </w:p>
        </w:tc>
      </w:tr>
    </w:tbl>
    <w:p w14:paraId="52FC3B1E" w14:textId="3B290317" w:rsidR="00A435F7" w:rsidRDefault="00A435F7" w:rsidP="00FD05F6">
      <w:pPr>
        <w:pStyle w:val="Heading2"/>
      </w:pPr>
      <w:bookmarkStart w:id="326" w:name="_Toc164421024"/>
      <w:bookmarkEnd w:id="325"/>
      <w:r>
        <w:t>Medium and Long-term Implementation</w:t>
      </w:r>
      <w:bookmarkEnd w:id="326"/>
    </w:p>
    <w:p w14:paraId="49D03611" w14:textId="77777777" w:rsidR="005A005B" w:rsidRDefault="005A005B" w:rsidP="005A005B">
      <w:pPr>
        <w:pStyle w:val="BodyText"/>
      </w:pPr>
      <w:r w:rsidRPr="004C7E8F">
        <w:t>Medium (</w:t>
      </w:r>
      <w:r>
        <w:t>25</w:t>
      </w:r>
      <w:r w:rsidRPr="004C7E8F">
        <w:t xml:space="preserve"> – 50 years) and long-term (50 – 100 years) implementation provides</w:t>
      </w:r>
      <w:r>
        <w:t xml:space="preserve"> a strategic consideration of how the City will adapt to long-term climate change impacts. Therefore, medium- and long-term implementation are not described in detail in the CHRMAP. Longer-term responses include: </w:t>
      </w:r>
    </w:p>
    <w:p w14:paraId="53B6FC86" w14:textId="77777777" w:rsidR="005A005B" w:rsidRDefault="005A005B" w:rsidP="00A97817">
      <w:pPr>
        <w:pStyle w:val="ListBullet0"/>
        <w:numPr>
          <w:ilvl w:val="0"/>
          <w:numId w:val="60"/>
        </w:numPr>
      </w:pPr>
      <w:r>
        <w:t>Continuing to action the revised planning instruments implemented in the short-term.</w:t>
      </w:r>
    </w:p>
    <w:p w14:paraId="2E027786" w14:textId="77777777" w:rsidR="005A005B" w:rsidRDefault="005A005B" w:rsidP="00A97817">
      <w:pPr>
        <w:pStyle w:val="ListBullet0"/>
        <w:numPr>
          <w:ilvl w:val="0"/>
          <w:numId w:val="60"/>
        </w:numPr>
      </w:pPr>
      <w:r>
        <w:t>Implementing planned managed retreat.</w:t>
      </w:r>
    </w:p>
    <w:p w14:paraId="2FB0172A" w14:textId="77777777" w:rsidR="005A005B" w:rsidRDefault="005A005B" w:rsidP="00A97817">
      <w:pPr>
        <w:pStyle w:val="ListBullet0"/>
        <w:numPr>
          <w:ilvl w:val="0"/>
          <w:numId w:val="60"/>
        </w:numPr>
      </w:pPr>
      <w:r>
        <w:t>Exhausting the SPP2.6 hierarchy of actions, high value assets may be protected where sustainable impacts and funding are identified/prioritised.</w:t>
      </w:r>
    </w:p>
    <w:p w14:paraId="117564AD" w14:textId="77777777" w:rsidR="005A005B" w:rsidRDefault="005A005B" w:rsidP="00A97817">
      <w:pPr>
        <w:pStyle w:val="ListBullet0"/>
        <w:numPr>
          <w:ilvl w:val="0"/>
          <w:numId w:val="60"/>
        </w:numPr>
      </w:pPr>
      <w:r>
        <w:t>Providing temporary/interim hazard protection may also become more costly and a change in adaptation pathway could be required. For example, as sea level rise progresses, it is possible that Options using sand or rock resources to protect assets near the coast may become economically unsustainable.</w:t>
      </w:r>
    </w:p>
    <w:p w14:paraId="0108CDEA" w14:textId="79AF22BD" w:rsidR="005A005B" w:rsidRPr="005A005B" w:rsidRDefault="005A005B" w:rsidP="005A005B">
      <w:pPr>
        <w:pStyle w:val="BodyText"/>
      </w:pPr>
      <w:r>
        <w:t>L</w:t>
      </w:r>
      <w:r w:rsidRPr="00957822">
        <w:t>ong-term adaptation strategies</w:t>
      </w:r>
      <w:r>
        <w:t>/pathways</w:t>
      </w:r>
      <w:r w:rsidRPr="00957822">
        <w:t xml:space="preserve"> </w:t>
      </w:r>
      <w:r>
        <w:t xml:space="preserve">have been recommended </w:t>
      </w:r>
      <w:r w:rsidRPr="00957822">
        <w:t>for</w:t>
      </w:r>
      <w:r>
        <w:t xml:space="preserve"> each MU for both erosion and inundation</w:t>
      </w:r>
      <w:r w:rsidRPr="00957822">
        <w:t xml:space="preserve"> that will allow for the continuous function</w:t>
      </w:r>
      <w:r>
        <w:t xml:space="preserve"> of</w:t>
      </w:r>
      <w:r w:rsidRPr="00957822">
        <w:t xml:space="preserve"> </w:t>
      </w:r>
      <w:r>
        <w:t xml:space="preserve">local communities </w:t>
      </w:r>
      <w:r w:rsidRPr="00957822">
        <w:t xml:space="preserve">whilst accommodating the increasing burden of coastal hazards. </w:t>
      </w:r>
      <w:r>
        <w:t xml:space="preserve">The </w:t>
      </w:r>
      <w:r w:rsidRPr="00957822">
        <w:t>long-term strategy inform</w:t>
      </w:r>
      <w:r>
        <w:t>s</w:t>
      </w:r>
      <w:r w:rsidRPr="00957822">
        <w:t xml:space="preserve"> </w:t>
      </w:r>
      <w:r>
        <w:t xml:space="preserve">future </w:t>
      </w:r>
      <w:r w:rsidRPr="00957822">
        <w:t xml:space="preserve">planning instruments, </w:t>
      </w:r>
      <w:r>
        <w:t xml:space="preserve">supports </w:t>
      </w:r>
      <w:r w:rsidRPr="00957822">
        <w:t>monitoring</w:t>
      </w:r>
      <w:r>
        <w:t>,</w:t>
      </w:r>
      <w:r w:rsidRPr="00957822">
        <w:t xml:space="preserve"> </w:t>
      </w:r>
      <w:r>
        <w:t>recommends planning reviews and underpins collaboration between</w:t>
      </w:r>
      <w:r w:rsidRPr="00957822">
        <w:t xml:space="preserve"> </w:t>
      </w:r>
      <w:r>
        <w:t>coastal land managers, stakeholders and the community</w:t>
      </w:r>
      <w:r w:rsidRPr="00957822">
        <w:t>.</w:t>
      </w:r>
    </w:p>
    <w:p w14:paraId="3A501BC9" w14:textId="7226BAF1" w:rsidR="00A435F7" w:rsidRDefault="00A435F7" w:rsidP="00FD05F6">
      <w:pPr>
        <w:pStyle w:val="Heading2"/>
      </w:pPr>
      <w:bookmarkStart w:id="327" w:name="_Toc164421025"/>
      <w:r>
        <w:t>Detailed Implementation Plans</w:t>
      </w:r>
      <w:bookmarkEnd w:id="327"/>
    </w:p>
    <w:p w14:paraId="4CEC4A62" w14:textId="52E34EA1" w:rsidR="000D1D20" w:rsidRDefault="000D1D20" w:rsidP="000D1D20">
      <w:pPr>
        <w:pStyle w:val="BodyText"/>
      </w:pPr>
      <w:r w:rsidRPr="00987CF0">
        <w:t xml:space="preserve">Detailed implementation plans for each MU are presented in </w:t>
      </w:r>
      <w:r>
        <w:fldChar w:fldCharType="begin"/>
      </w:r>
      <w:r>
        <w:instrText xml:space="preserve"> REF _Ref155794045 \h </w:instrText>
      </w:r>
      <w:r>
        <w:fldChar w:fldCharType="separate"/>
      </w:r>
      <w:r>
        <w:t>Table </w:t>
      </w:r>
      <w:r>
        <w:rPr>
          <w:noProof/>
        </w:rPr>
        <w:t>6</w:t>
      </w:r>
      <w:r>
        <w:noBreakHyphen/>
      </w:r>
      <w:r>
        <w:rPr>
          <w:noProof/>
        </w:rPr>
        <w:t>2</w:t>
      </w:r>
      <w:r>
        <w:fldChar w:fldCharType="end"/>
      </w:r>
      <w:r>
        <w:t xml:space="preserve"> </w:t>
      </w:r>
      <w:r w:rsidRPr="00987CF0">
        <w:t xml:space="preserve">to </w:t>
      </w:r>
      <w:r>
        <w:fldChar w:fldCharType="begin"/>
      </w:r>
      <w:r>
        <w:instrText xml:space="preserve"> REF _Ref155794050 \h </w:instrText>
      </w:r>
      <w:r>
        <w:fldChar w:fldCharType="separate"/>
      </w:r>
      <w:r>
        <w:t>Table </w:t>
      </w:r>
      <w:r>
        <w:rPr>
          <w:noProof/>
        </w:rPr>
        <w:t>6</w:t>
      </w:r>
      <w:r>
        <w:noBreakHyphen/>
      </w:r>
      <w:r>
        <w:rPr>
          <w:noProof/>
        </w:rPr>
        <w:t>6</w:t>
      </w:r>
      <w:r>
        <w:fldChar w:fldCharType="end"/>
      </w:r>
      <w:r>
        <w:t xml:space="preserve">. Recommendations are provided in priority order for each MU. There is overlap with several recommendations across multiple MU’s but these have been presented in each table so that readers can focus on a single MU if preferred and in case the City decide to stage works. An overview map of the Study Area and Management Unit locations is provided in </w:t>
      </w:r>
      <w:r>
        <w:fldChar w:fldCharType="begin"/>
      </w:r>
      <w:r>
        <w:instrText xml:space="preserve"> REF _Ref161751334 \h </w:instrText>
      </w:r>
      <w:r>
        <w:fldChar w:fldCharType="separate"/>
      </w:r>
      <w:r>
        <w:t>Figure </w:t>
      </w:r>
      <w:r>
        <w:rPr>
          <w:noProof/>
        </w:rPr>
        <w:t>8</w:t>
      </w:r>
      <w:r>
        <w:noBreakHyphen/>
      </w:r>
      <w:r>
        <w:rPr>
          <w:noProof/>
        </w:rPr>
        <w:t>4</w:t>
      </w:r>
      <w:r>
        <w:fldChar w:fldCharType="end"/>
      </w:r>
      <w:r>
        <w:t xml:space="preserve"> below for reference. Individual maps depicting each hazard and the extent of proposed treatment options for each MU are provided in </w:t>
      </w:r>
      <w:r w:rsidR="00A3237E">
        <w:fldChar w:fldCharType="begin"/>
      </w:r>
      <w:r w:rsidR="00A3237E">
        <w:instrText xml:space="preserve"> REF _Ref164174412 \n \h </w:instrText>
      </w:r>
      <w:r w:rsidR="00A3237E">
        <w:fldChar w:fldCharType="separate"/>
      </w:r>
      <w:r w:rsidR="00A3237E">
        <w:t>Appendix A</w:t>
      </w:r>
      <w:r w:rsidR="00A3237E">
        <w:fldChar w:fldCharType="end"/>
      </w:r>
      <w:r w:rsidR="005A33E2">
        <w:t>.</w:t>
      </w:r>
      <w:r w:rsidR="00A83957">
        <w:fldChar w:fldCharType="begin"/>
      </w:r>
      <w:r w:rsidR="00A83957">
        <w:instrText xml:space="preserve"> REF Address \h </w:instrText>
      </w:r>
      <w:r w:rsidR="00A83957">
        <w:fldChar w:fldCharType="end"/>
      </w:r>
    </w:p>
    <w:p w14:paraId="36C68CEA" w14:textId="0B8A0F11" w:rsidR="005A005B" w:rsidRDefault="005A005B" w:rsidP="005A005B">
      <w:pPr>
        <w:pStyle w:val="FigureStyle"/>
        <w:rPr>
          <w:rFonts w:eastAsiaTheme="minorHAnsi" w:cstheme="minorBidi"/>
          <w:szCs w:val="22"/>
          <w:lang w:eastAsia="en-US"/>
        </w:rPr>
      </w:pPr>
      <w:r>
        <w:rPr>
          <w:noProof/>
        </w:rPr>
        <w:lastRenderedPageBreak/>
        <w:drawing>
          <wp:inline distT="0" distB="0" distL="0" distR="0" wp14:anchorId="6F7B4A8E" wp14:editId="4A70BEA4">
            <wp:extent cx="6120130" cy="7941945"/>
            <wp:effectExtent l="0" t="0" r="0" b="1905"/>
            <wp:docPr id="318366003" name="Picture 1" descr="A map of the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66003" name="Picture 1" descr="A map of the island&#10;&#10;Description automatically generated"/>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6120130" cy="7941945"/>
                    </a:xfrm>
                    <a:prstGeom prst="rect">
                      <a:avLst/>
                    </a:prstGeom>
                    <a:noFill/>
                    <a:ln>
                      <a:noFill/>
                    </a:ln>
                  </pic:spPr>
                </pic:pic>
              </a:graphicData>
            </a:graphic>
          </wp:inline>
        </w:drawing>
      </w:r>
    </w:p>
    <w:p w14:paraId="1B4A7A49" w14:textId="6579E12E" w:rsidR="0033780B" w:rsidRDefault="005A005B" w:rsidP="000C20A5">
      <w:pPr>
        <w:pStyle w:val="FigureCaption"/>
        <w:rPr>
          <w:b w:val="0"/>
        </w:rPr>
      </w:pPr>
      <w:bookmarkStart w:id="328" w:name="_Ref161751334"/>
      <w:bookmarkStart w:id="329" w:name="_Toc162510060"/>
      <w:bookmarkStart w:id="330" w:name="_Toc164411272"/>
      <w:r>
        <w:t>Figure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Figure \* ARABIC \s 1 </w:instrText>
      </w:r>
      <w:r w:rsidR="008647EF">
        <w:fldChar w:fldCharType="separate"/>
      </w:r>
      <w:r w:rsidR="008647EF">
        <w:rPr>
          <w:noProof/>
        </w:rPr>
        <w:t>4</w:t>
      </w:r>
      <w:r w:rsidR="008647EF">
        <w:fldChar w:fldCharType="end"/>
      </w:r>
      <w:bookmarkEnd w:id="328"/>
      <w:r>
        <w:tab/>
        <w:t>Princess Royal Harbour Study Area</w:t>
      </w:r>
      <w:bookmarkEnd w:id="329"/>
      <w:bookmarkEnd w:id="330"/>
      <w:r w:rsidR="0033780B">
        <w:br w:type="page"/>
      </w:r>
    </w:p>
    <w:p w14:paraId="45C49256" w14:textId="77777777" w:rsidR="000D1D20" w:rsidRDefault="000D1D20" w:rsidP="005A005B">
      <w:pPr>
        <w:pStyle w:val="FigureCaption"/>
        <w:sectPr w:rsidR="000D1D20" w:rsidSect="00AB3B28">
          <w:footerReference w:type="default" r:id="rId66"/>
          <w:pgSz w:w="11906" w:h="16838" w:code="9"/>
          <w:pgMar w:top="1985" w:right="1134" w:bottom="1701" w:left="1134" w:header="567" w:footer="567" w:gutter="0"/>
          <w:cols w:space="708"/>
          <w:docGrid w:linePitch="360"/>
        </w:sectPr>
      </w:pPr>
    </w:p>
    <w:p w14:paraId="1FB0E011" w14:textId="663B9059" w:rsidR="000D1D20" w:rsidRDefault="000D1D20" w:rsidP="000D1D20">
      <w:pPr>
        <w:pStyle w:val="TableCaption"/>
      </w:pPr>
      <w:bookmarkStart w:id="331" w:name="_Ref155794045"/>
      <w:bookmarkStart w:id="332" w:name="_Ref156208438"/>
      <w:bookmarkStart w:id="333" w:name="_Toc125031696"/>
      <w:bookmarkStart w:id="334" w:name="_Toc125716397"/>
      <w:bookmarkStart w:id="335" w:name="_Toc156209460"/>
      <w:bookmarkStart w:id="336" w:name="_Toc164411296"/>
      <w:r>
        <w:lastRenderedPageBreak/>
        <w:t>Table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6</w:t>
      </w:r>
      <w:r w:rsidR="008647EF">
        <w:fldChar w:fldCharType="end"/>
      </w:r>
      <w:bookmarkEnd w:id="331"/>
      <w:bookmarkEnd w:id="332"/>
      <w:r>
        <w:tab/>
      </w:r>
      <w:r w:rsidRPr="00181B50">
        <w:t xml:space="preserve">MU1 – </w:t>
      </w:r>
      <w:r w:rsidRPr="00D54485">
        <w:t>Point King to Melville point</w:t>
      </w:r>
      <w:r>
        <w:t xml:space="preserve"> recommendations</w:t>
      </w:r>
      <w:bookmarkEnd w:id="333"/>
      <w:bookmarkEnd w:id="334"/>
      <w:r>
        <w:t xml:space="preserve"> in priority order.</w:t>
      </w:r>
      <w:bookmarkEnd w:id="335"/>
      <w:bookmarkEnd w:id="336"/>
    </w:p>
    <w:tbl>
      <w:tblPr>
        <w:tblStyle w:val="BlueTable"/>
        <w:tblW w:w="0" w:type="auto"/>
        <w:tblLook w:val="0620" w:firstRow="1" w:lastRow="0" w:firstColumn="0" w:lastColumn="0" w:noHBand="1" w:noVBand="1"/>
      </w:tblPr>
      <w:tblGrid>
        <w:gridCol w:w="3433"/>
        <w:gridCol w:w="4452"/>
        <w:gridCol w:w="2159"/>
        <w:gridCol w:w="2495"/>
        <w:gridCol w:w="2751"/>
        <w:gridCol w:w="1736"/>
        <w:gridCol w:w="728"/>
        <w:gridCol w:w="787"/>
        <w:gridCol w:w="787"/>
        <w:gridCol w:w="787"/>
      </w:tblGrid>
      <w:tr w:rsidR="000D1D20" w14:paraId="34EF7241" w14:textId="77777777" w:rsidTr="001355DB">
        <w:trPr>
          <w:cnfStyle w:val="100000000000" w:firstRow="1" w:lastRow="0" w:firstColumn="0" w:lastColumn="0" w:oddVBand="0" w:evenVBand="0" w:oddHBand="0" w:evenHBand="0" w:firstRowFirstColumn="0" w:firstRowLastColumn="0" w:lastRowFirstColumn="0" w:lastRowLastColumn="0"/>
        </w:trPr>
        <w:tc>
          <w:tcPr>
            <w:tcW w:w="0" w:type="auto"/>
          </w:tcPr>
          <w:p w14:paraId="5F90A006" w14:textId="77777777" w:rsidR="000D1D20" w:rsidRDefault="000D1D20" w:rsidP="001355DB">
            <w:pPr>
              <w:pStyle w:val="TableHeading"/>
            </w:pPr>
            <w:r>
              <w:t>Recommendation</w:t>
            </w:r>
          </w:p>
        </w:tc>
        <w:tc>
          <w:tcPr>
            <w:tcW w:w="0" w:type="auto"/>
          </w:tcPr>
          <w:p w14:paraId="4A57FAB1" w14:textId="77777777" w:rsidR="000D1D20" w:rsidRDefault="000D1D20" w:rsidP="001355DB">
            <w:pPr>
              <w:pStyle w:val="TableHeading"/>
            </w:pPr>
            <w:r>
              <w:t>Notes</w:t>
            </w:r>
          </w:p>
        </w:tc>
        <w:tc>
          <w:tcPr>
            <w:tcW w:w="0" w:type="auto"/>
          </w:tcPr>
          <w:p w14:paraId="2C394373" w14:textId="77777777" w:rsidR="000D1D20" w:rsidRDefault="000D1D20" w:rsidP="001355DB">
            <w:pPr>
              <w:pStyle w:val="TableHeading"/>
            </w:pPr>
            <w:r>
              <w:t>Responsibility</w:t>
            </w:r>
          </w:p>
        </w:tc>
        <w:tc>
          <w:tcPr>
            <w:tcW w:w="0" w:type="auto"/>
          </w:tcPr>
          <w:p w14:paraId="2BDD62E1" w14:textId="77777777" w:rsidR="000D1D20" w:rsidRDefault="000D1D20" w:rsidP="001355DB">
            <w:pPr>
              <w:pStyle w:val="TableHeading"/>
            </w:pPr>
            <w:r>
              <w:t>Trigger</w:t>
            </w:r>
          </w:p>
        </w:tc>
        <w:tc>
          <w:tcPr>
            <w:tcW w:w="0" w:type="auto"/>
          </w:tcPr>
          <w:p w14:paraId="67270BE1" w14:textId="77777777" w:rsidR="000D1D20" w:rsidRDefault="000D1D20" w:rsidP="001355DB">
            <w:pPr>
              <w:pStyle w:val="TableHeading"/>
            </w:pPr>
            <w:r>
              <w:t>Cost</w:t>
            </w:r>
          </w:p>
        </w:tc>
        <w:tc>
          <w:tcPr>
            <w:tcW w:w="1736" w:type="dxa"/>
          </w:tcPr>
          <w:p w14:paraId="5FFFB524" w14:textId="77777777" w:rsidR="000D1D20" w:rsidRDefault="000D1D20" w:rsidP="001355DB">
            <w:pPr>
              <w:pStyle w:val="TableHeading"/>
            </w:pPr>
            <w:r>
              <w:t>Funding</w:t>
            </w:r>
          </w:p>
        </w:tc>
        <w:tc>
          <w:tcPr>
            <w:tcW w:w="728" w:type="dxa"/>
          </w:tcPr>
          <w:p w14:paraId="6FD51053" w14:textId="77777777" w:rsidR="000D1D20" w:rsidRDefault="000D1D20" w:rsidP="001355DB">
            <w:pPr>
              <w:pStyle w:val="TableHeading"/>
            </w:pPr>
            <w:r>
              <w:t>2024-2025</w:t>
            </w:r>
          </w:p>
        </w:tc>
        <w:tc>
          <w:tcPr>
            <w:tcW w:w="0" w:type="auto"/>
          </w:tcPr>
          <w:p w14:paraId="5BE02FB8" w14:textId="77777777" w:rsidR="000D1D20" w:rsidRDefault="000D1D20" w:rsidP="001355DB">
            <w:pPr>
              <w:pStyle w:val="TableHeading"/>
            </w:pPr>
            <w:r>
              <w:t>2025-2035</w:t>
            </w:r>
          </w:p>
        </w:tc>
        <w:tc>
          <w:tcPr>
            <w:tcW w:w="0" w:type="auto"/>
          </w:tcPr>
          <w:p w14:paraId="42939184" w14:textId="77777777" w:rsidR="000D1D20" w:rsidRDefault="000D1D20" w:rsidP="001355DB">
            <w:pPr>
              <w:pStyle w:val="TableHeading"/>
            </w:pPr>
            <w:r>
              <w:t>2035-2050</w:t>
            </w:r>
          </w:p>
        </w:tc>
        <w:tc>
          <w:tcPr>
            <w:tcW w:w="0" w:type="auto"/>
          </w:tcPr>
          <w:p w14:paraId="32424F78" w14:textId="77777777" w:rsidR="000D1D20" w:rsidRPr="000D271C" w:rsidRDefault="000D1D20" w:rsidP="001355DB">
            <w:pPr>
              <w:pStyle w:val="TableHeading"/>
            </w:pPr>
            <w:r>
              <w:t>2050-2120</w:t>
            </w:r>
          </w:p>
        </w:tc>
      </w:tr>
      <w:tr w:rsidR="000D1D20" w14:paraId="4021C92B" w14:textId="77777777" w:rsidTr="001355DB">
        <w:tc>
          <w:tcPr>
            <w:tcW w:w="0" w:type="auto"/>
          </w:tcPr>
          <w:p w14:paraId="60FF0246" w14:textId="77777777" w:rsidR="000D1D20" w:rsidRDefault="000D1D20" w:rsidP="001355DB">
            <w:pPr>
              <w:pStyle w:val="TableText"/>
            </w:pPr>
            <w:r>
              <w:t>INVESTIGATION 1</w:t>
            </w:r>
          </w:p>
          <w:p w14:paraId="32072F64" w14:textId="77777777" w:rsidR="000D1D20" w:rsidRDefault="000D1D20" w:rsidP="001355DB">
            <w:pPr>
              <w:pStyle w:val="TableText"/>
            </w:pPr>
            <w:r>
              <w:t>Update Foreshore Management Plans (FMPs)</w:t>
            </w:r>
          </w:p>
        </w:tc>
        <w:tc>
          <w:tcPr>
            <w:tcW w:w="0" w:type="auto"/>
          </w:tcPr>
          <w:p w14:paraId="58B1E1C0" w14:textId="77777777" w:rsidR="000D1D20" w:rsidRDefault="000D1D20" w:rsidP="00FF5CBF">
            <w:pPr>
              <w:pStyle w:val="ListBullet0"/>
              <w:numPr>
                <w:ilvl w:val="0"/>
                <w:numId w:val="59"/>
              </w:numPr>
              <w:spacing w:beforeLines="40" w:before="96" w:afterLines="40" w:after="96" w:line="240" w:lineRule="auto"/>
            </w:pPr>
            <w:r>
              <w:t xml:space="preserve">Prepare an updated Foreshore Management Plan </w:t>
            </w:r>
          </w:p>
          <w:p w14:paraId="3B2E5519" w14:textId="77777777" w:rsidR="000D1D20" w:rsidRDefault="000D1D20" w:rsidP="00FF5CBF">
            <w:pPr>
              <w:pStyle w:val="ListBullet0"/>
              <w:numPr>
                <w:ilvl w:val="0"/>
                <w:numId w:val="59"/>
              </w:numPr>
              <w:spacing w:beforeLines="40" w:before="96" w:afterLines="40" w:after="96" w:line="240" w:lineRule="auto"/>
            </w:pPr>
            <w:r>
              <w:t>An updated FMP could help increase the protective capacity of the natural dune system. Updates should address the requirements of SPP2.6 and incorporate the findings of this CHRMAP</w:t>
            </w:r>
          </w:p>
        </w:tc>
        <w:tc>
          <w:tcPr>
            <w:tcW w:w="0" w:type="auto"/>
          </w:tcPr>
          <w:p w14:paraId="7B836B75" w14:textId="77777777" w:rsidR="000D1D20" w:rsidRDefault="000D1D20" w:rsidP="00FF5CBF">
            <w:pPr>
              <w:pStyle w:val="ListBullet0"/>
              <w:numPr>
                <w:ilvl w:val="0"/>
                <w:numId w:val="59"/>
              </w:numPr>
              <w:spacing w:beforeLines="40" w:before="96" w:afterLines="40" w:after="96" w:line="240" w:lineRule="auto"/>
            </w:pPr>
            <w:r>
              <w:t>LGA</w:t>
            </w:r>
          </w:p>
        </w:tc>
        <w:tc>
          <w:tcPr>
            <w:tcW w:w="0" w:type="auto"/>
          </w:tcPr>
          <w:p w14:paraId="7BBE5D5D" w14:textId="77777777" w:rsidR="000D1D20" w:rsidRDefault="000D1D20" w:rsidP="00FF5CBF">
            <w:pPr>
              <w:pStyle w:val="ListBullet0"/>
              <w:numPr>
                <w:ilvl w:val="0"/>
                <w:numId w:val="59"/>
              </w:numPr>
              <w:spacing w:beforeLines="40" w:before="96" w:afterLines="40" w:after="96" w:line="240" w:lineRule="auto"/>
            </w:pPr>
            <w:r>
              <w:t>Completed CHRMAP</w:t>
            </w:r>
          </w:p>
        </w:tc>
        <w:tc>
          <w:tcPr>
            <w:tcW w:w="0" w:type="auto"/>
          </w:tcPr>
          <w:p w14:paraId="5110AE59" w14:textId="77777777" w:rsidR="000D1D20" w:rsidRDefault="000D1D20" w:rsidP="00FF5CBF">
            <w:pPr>
              <w:pStyle w:val="ListBullet0"/>
              <w:numPr>
                <w:ilvl w:val="0"/>
                <w:numId w:val="59"/>
              </w:numPr>
              <w:spacing w:beforeLines="40" w:before="96" w:afterLines="40" w:after="96" w:line="240" w:lineRule="auto"/>
              <w:jc w:val="left"/>
            </w:pPr>
            <w:r>
              <w:t>$30,000</w:t>
            </w:r>
          </w:p>
          <w:p w14:paraId="07FD6606" w14:textId="77777777" w:rsidR="000D1D20" w:rsidRDefault="000D1D20" w:rsidP="00FF5CBF">
            <w:pPr>
              <w:pStyle w:val="ListBullet0"/>
              <w:numPr>
                <w:ilvl w:val="0"/>
                <w:numId w:val="59"/>
              </w:numPr>
              <w:spacing w:beforeLines="40" w:before="96" w:afterLines="40" w:after="96" w:line="240" w:lineRule="auto"/>
              <w:jc w:val="left"/>
            </w:pPr>
            <w:r>
              <w:t>Assumes only undertaken for this MU in isolation, but synergies should be investigated.</w:t>
            </w:r>
          </w:p>
        </w:tc>
        <w:tc>
          <w:tcPr>
            <w:tcW w:w="1736" w:type="dxa"/>
          </w:tcPr>
          <w:p w14:paraId="1F3FB7EB" w14:textId="77777777" w:rsidR="000D1D20" w:rsidRDefault="000D1D20" w:rsidP="00FF5CBF">
            <w:pPr>
              <w:pStyle w:val="ListBullet0"/>
              <w:numPr>
                <w:ilvl w:val="0"/>
                <w:numId w:val="59"/>
              </w:numPr>
              <w:spacing w:beforeLines="40" w:before="96" w:afterLines="40" w:after="96" w:line="240" w:lineRule="auto"/>
            </w:pPr>
            <w:r>
              <w:t>Operational</w:t>
            </w:r>
          </w:p>
          <w:p w14:paraId="6A7F6DA3" w14:textId="77777777" w:rsidR="000D1D20" w:rsidRDefault="000D1D20" w:rsidP="00FF5CBF">
            <w:pPr>
              <w:pStyle w:val="ListBullet0"/>
              <w:numPr>
                <w:ilvl w:val="0"/>
                <w:numId w:val="59"/>
              </w:numPr>
              <w:spacing w:beforeLines="40" w:before="96" w:afterLines="40" w:after="96" w:line="240" w:lineRule="auto"/>
            </w:pPr>
            <w:r>
              <w:t>Grants (e.g. CMPAP)</w:t>
            </w:r>
          </w:p>
        </w:tc>
        <w:tc>
          <w:tcPr>
            <w:tcW w:w="728" w:type="dxa"/>
          </w:tcPr>
          <w:p w14:paraId="359DFA0E" w14:textId="77777777" w:rsidR="000D1D20" w:rsidRDefault="000D1D20" w:rsidP="001355DB">
            <w:pPr>
              <w:pStyle w:val="TableText"/>
            </w:pPr>
            <w:r>
              <w:t>x</w:t>
            </w:r>
          </w:p>
        </w:tc>
        <w:tc>
          <w:tcPr>
            <w:tcW w:w="0" w:type="auto"/>
          </w:tcPr>
          <w:p w14:paraId="088EBDE3" w14:textId="77777777" w:rsidR="000D1D20" w:rsidRDefault="000D1D20" w:rsidP="001355DB">
            <w:pPr>
              <w:pStyle w:val="TableText"/>
            </w:pPr>
            <w:r>
              <w:t>x</w:t>
            </w:r>
          </w:p>
        </w:tc>
        <w:tc>
          <w:tcPr>
            <w:tcW w:w="0" w:type="auto"/>
          </w:tcPr>
          <w:p w14:paraId="671755ED" w14:textId="77777777" w:rsidR="000D1D20" w:rsidRDefault="000D1D20" w:rsidP="001355DB">
            <w:pPr>
              <w:pStyle w:val="TableText"/>
            </w:pPr>
            <w:r>
              <w:t>x</w:t>
            </w:r>
          </w:p>
        </w:tc>
        <w:tc>
          <w:tcPr>
            <w:tcW w:w="0" w:type="auto"/>
          </w:tcPr>
          <w:p w14:paraId="0548423D" w14:textId="77777777" w:rsidR="000D1D20" w:rsidRDefault="000D1D20" w:rsidP="001355DB">
            <w:pPr>
              <w:pStyle w:val="TableText"/>
            </w:pPr>
            <w:r>
              <w:t>x</w:t>
            </w:r>
          </w:p>
        </w:tc>
      </w:tr>
      <w:tr w:rsidR="000D1D20" w14:paraId="76E343D3" w14:textId="77777777" w:rsidTr="001355DB">
        <w:tc>
          <w:tcPr>
            <w:tcW w:w="0" w:type="auto"/>
            <w:vAlign w:val="center"/>
          </w:tcPr>
          <w:p w14:paraId="6B2F5A80" w14:textId="77777777" w:rsidR="000D1D20" w:rsidRDefault="000D1D20" w:rsidP="001355DB">
            <w:pPr>
              <w:pStyle w:val="TableText"/>
            </w:pPr>
            <w:r w:rsidRPr="000856DF">
              <w:t>Locating assets in areas that will not be vulnerable to coastal hazards (AV)</w:t>
            </w:r>
          </w:p>
        </w:tc>
        <w:tc>
          <w:tcPr>
            <w:tcW w:w="0" w:type="auto"/>
            <w:vAlign w:val="center"/>
          </w:tcPr>
          <w:p w14:paraId="12AFBF36" w14:textId="77777777" w:rsidR="000D1D20" w:rsidRDefault="000D1D20" w:rsidP="00FF5CBF">
            <w:pPr>
              <w:pStyle w:val="ListBullet0"/>
              <w:numPr>
                <w:ilvl w:val="0"/>
                <w:numId w:val="59"/>
              </w:numPr>
              <w:spacing w:beforeLines="40" w:before="96" w:afterLines="40" w:after="96" w:line="240" w:lineRule="auto"/>
            </w:pPr>
            <w:r>
              <w:t>Item cost for investigations and management plans</w:t>
            </w:r>
          </w:p>
        </w:tc>
        <w:tc>
          <w:tcPr>
            <w:tcW w:w="0" w:type="auto"/>
          </w:tcPr>
          <w:p w14:paraId="7B4744DE" w14:textId="77777777" w:rsidR="000D1D20" w:rsidRDefault="000D1D20" w:rsidP="00FF5CBF">
            <w:pPr>
              <w:pStyle w:val="ListBullet0"/>
              <w:numPr>
                <w:ilvl w:val="0"/>
                <w:numId w:val="59"/>
              </w:numPr>
              <w:spacing w:beforeLines="40" w:before="96" w:afterLines="40" w:after="96" w:line="240" w:lineRule="auto"/>
            </w:pPr>
            <w:r>
              <w:t>LGA</w:t>
            </w:r>
          </w:p>
          <w:p w14:paraId="7829F913" w14:textId="77777777" w:rsidR="000D1D20" w:rsidRDefault="000D1D20" w:rsidP="00FF5CBF">
            <w:pPr>
              <w:pStyle w:val="ListBullet0"/>
              <w:numPr>
                <w:ilvl w:val="0"/>
                <w:numId w:val="59"/>
              </w:numPr>
              <w:spacing w:beforeLines="40" w:before="96" w:afterLines="40" w:after="96" w:line="240" w:lineRule="auto"/>
            </w:pPr>
            <w:r>
              <w:t>Southern Ports</w:t>
            </w:r>
          </w:p>
        </w:tc>
        <w:tc>
          <w:tcPr>
            <w:tcW w:w="0" w:type="auto"/>
          </w:tcPr>
          <w:p w14:paraId="7D4534A0" w14:textId="77777777" w:rsidR="000D1D20" w:rsidRDefault="000D1D20" w:rsidP="00FF5CBF">
            <w:pPr>
              <w:pStyle w:val="ListBullet0"/>
              <w:numPr>
                <w:ilvl w:val="0"/>
                <w:numId w:val="59"/>
              </w:numPr>
              <w:spacing w:beforeLines="40" w:before="96" w:afterLines="40" w:after="96" w:line="240" w:lineRule="auto"/>
            </w:pPr>
            <w:r>
              <w:t>Completed CHRMAP</w:t>
            </w:r>
          </w:p>
        </w:tc>
        <w:tc>
          <w:tcPr>
            <w:tcW w:w="0" w:type="auto"/>
          </w:tcPr>
          <w:p w14:paraId="6300DF86" w14:textId="77777777" w:rsidR="000D1D20" w:rsidRDefault="000D1D20" w:rsidP="00FF5CBF">
            <w:pPr>
              <w:pStyle w:val="ListBullet0"/>
              <w:numPr>
                <w:ilvl w:val="0"/>
                <w:numId w:val="59"/>
              </w:numPr>
              <w:spacing w:beforeLines="40" w:before="96" w:afterLines="40" w:after="96" w:line="240" w:lineRule="auto"/>
              <w:jc w:val="left"/>
            </w:pPr>
            <w:r>
              <w:t>$50,000</w:t>
            </w:r>
          </w:p>
        </w:tc>
        <w:tc>
          <w:tcPr>
            <w:tcW w:w="1736" w:type="dxa"/>
          </w:tcPr>
          <w:p w14:paraId="338C0C32" w14:textId="77777777" w:rsidR="000D1D20" w:rsidRDefault="000D1D20" w:rsidP="00FF5CBF">
            <w:pPr>
              <w:pStyle w:val="ListBullet0"/>
              <w:numPr>
                <w:ilvl w:val="0"/>
                <w:numId w:val="59"/>
              </w:numPr>
              <w:spacing w:beforeLines="40" w:before="96" w:afterLines="40" w:after="96" w:line="240" w:lineRule="auto"/>
            </w:pPr>
            <w:r>
              <w:t>Operational</w:t>
            </w:r>
          </w:p>
        </w:tc>
        <w:tc>
          <w:tcPr>
            <w:tcW w:w="728" w:type="dxa"/>
          </w:tcPr>
          <w:p w14:paraId="1EBC9EF3" w14:textId="77777777" w:rsidR="000D1D20" w:rsidRDefault="000D1D20" w:rsidP="001355DB">
            <w:pPr>
              <w:pStyle w:val="TableText"/>
            </w:pPr>
            <w:r>
              <w:t>x</w:t>
            </w:r>
          </w:p>
        </w:tc>
        <w:tc>
          <w:tcPr>
            <w:tcW w:w="0" w:type="auto"/>
          </w:tcPr>
          <w:p w14:paraId="452AA060" w14:textId="77777777" w:rsidR="000D1D20" w:rsidRDefault="000D1D20" w:rsidP="001355DB">
            <w:pPr>
              <w:pStyle w:val="TableText"/>
            </w:pPr>
            <w:r>
              <w:t>x</w:t>
            </w:r>
          </w:p>
        </w:tc>
        <w:tc>
          <w:tcPr>
            <w:tcW w:w="0" w:type="auto"/>
          </w:tcPr>
          <w:p w14:paraId="0F576363" w14:textId="77777777" w:rsidR="000D1D20" w:rsidRDefault="000D1D20" w:rsidP="001355DB">
            <w:pPr>
              <w:pStyle w:val="TableText"/>
            </w:pPr>
          </w:p>
        </w:tc>
        <w:tc>
          <w:tcPr>
            <w:tcW w:w="0" w:type="auto"/>
          </w:tcPr>
          <w:p w14:paraId="268C7EA5" w14:textId="77777777" w:rsidR="000D1D20" w:rsidRDefault="000D1D20" w:rsidP="001355DB">
            <w:pPr>
              <w:pStyle w:val="TableText"/>
            </w:pPr>
          </w:p>
        </w:tc>
      </w:tr>
      <w:tr w:rsidR="000D1D20" w14:paraId="14FD3BBA" w14:textId="77777777" w:rsidTr="001355DB">
        <w:tc>
          <w:tcPr>
            <w:tcW w:w="0" w:type="auto"/>
            <w:vAlign w:val="center"/>
          </w:tcPr>
          <w:p w14:paraId="07ADE539" w14:textId="77777777" w:rsidR="000D1D20" w:rsidRDefault="000D1D20" w:rsidP="001355DB">
            <w:pPr>
              <w:pStyle w:val="TableText"/>
            </w:pPr>
            <w:r w:rsidRPr="000856DF">
              <w:t>Monitoring (NR1)</w:t>
            </w:r>
          </w:p>
        </w:tc>
        <w:tc>
          <w:tcPr>
            <w:tcW w:w="0" w:type="auto"/>
            <w:vAlign w:val="center"/>
          </w:tcPr>
          <w:p w14:paraId="353F8104" w14:textId="77777777" w:rsidR="000D1D20" w:rsidRDefault="000D1D20" w:rsidP="00FF5CBF">
            <w:pPr>
              <w:pStyle w:val="ListBullet0"/>
              <w:numPr>
                <w:ilvl w:val="0"/>
                <w:numId w:val="59"/>
              </w:numPr>
              <w:spacing w:beforeLines="40" w:before="96" w:afterLines="40" w:after="96" w:line="240" w:lineRule="auto"/>
            </w:pPr>
            <w:r>
              <w:t>Bathymetric survey to monitor seagrass banks, approximately every 5 years</w:t>
            </w:r>
          </w:p>
          <w:p w14:paraId="604550F7" w14:textId="77777777" w:rsidR="000D1D20" w:rsidRDefault="000D1D20" w:rsidP="00FF5CBF">
            <w:pPr>
              <w:pStyle w:val="ListBullet0"/>
              <w:numPr>
                <w:ilvl w:val="0"/>
                <w:numId w:val="59"/>
              </w:numPr>
              <w:spacing w:beforeLines="40" w:before="96" w:afterLines="40" w:after="96" w:line="240" w:lineRule="auto"/>
            </w:pPr>
            <w:r>
              <w:t>Occasional survey to track inundation extent and levels</w:t>
            </w:r>
          </w:p>
        </w:tc>
        <w:tc>
          <w:tcPr>
            <w:tcW w:w="0" w:type="auto"/>
          </w:tcPr>
          <w:p w14:paraId="5E3FFDC1" w14:textId="77777777" w:rsidR="000D1D20" w:rsidRDefault="000D1D20" w:rsidP="00FF5CBF">
            <w:pPr>
              <w:pStyle w:val="ListBullet0"/>
              <w:numPr>
                <w:ilvl w:val="0"/>
                <w:numId w:val="59"/>
              </w:numPr>
              <w:spacing w:beforeLines="40" w:before="96" w:afterLines="40" w:after="96" w:line="240" w:lineRule="auto"/>
            </w:pPr>
            <w:r>
              <w:t>LGA</w:t>
            </w:r>
          </w:p>
          <w:p w14:paraId="57F6AFC6" w14:textId="77777777" w:rsidR="000D1D20" w:rsidRDefault="000D1D20" w:rsidP="00FF5CBF">
            <w:pPr>
              <w:pStyle w:val="ListBullet0"/>
              <w:numPr>
                <w:ilvl w:val="0"/>
                <w:numId w:val="59"/>
              </w:numPr>
              <w:spacing w:beforeLines="40" w:before="96" w:afterLines="40" w:after="96" w:line="240" w:lineRule="auto"/>
            </w:pPr>
            <w:r>
              <w:t>Can seek support and assistance from Southern Ports, DoT</w:t>
            </w:r>
          </w:p>
        </w:tc>
        <w:tc>
          <w:tcPr>
            <w:tcW w:w="0" w:type="auto"/>
          </w:tcPr>
          <w:p w14:paraId="2DC236E4" w14:textId="77777777" w:rsidR="000D1D20" w:rsidRDefault="000D1D20" w:rsidP="00FF5CBF">
            <w:pPr>
              <w:pStyle w:val="ListBullet0"/>
              <w:numPr>
                <w:ilvl w:val="0"/>
                <w:numId w:val="59"/>
              </w:numPr>
              <w:spacing w:beforeLines="40" w:before="96" w:afterLines="40" w:after="96" w:line="240" w:lineRule="auto"/>
            </w:pPr>
            <w:r>
              <w:t>Completed CHRMAP</w:t>
            </w:r>
          </w:p>
          <w:p w14:paraId="0EC09B41" w14:textId="77777777" w:rsidR="000D1D20" w:rsidRDefault="000D1D20" w:rsidP="00FF5CBF">
            <w:pPr>
              <w:pStyle w:val="ListBullet0"/>
              <w:numPr>
                <w:ilvl w:val="0"/>
                <w:numId w:val="59"/>
              </w:numPr>
              <w:spacing w:beforeLines="40" w:before="96" w:afterLines="40" w:after="96" w:line="240" w:lineRule="auto"/>
            </w:pPr>
            <w:r>
              <w:t>Severe storm event(s)</w:t>
            </w:r>
          </w:p>
        </w:tc>
        <w:tc>
          <w:tcPr>
            <w:tcW w:w="0" w:type="auto"/>
          </w:tcPr>
          <w:p w14:paraId="0E10B899" w14:textId="77777777" w:rsidR="000D1D20" w:rsidRDefault="000D1D20" w:rsidP="00FF5CBF">
            <w:pPr>
              <w:pStyle w:val="ListBullet0"/>
              <w:numPr>
                <w:ilvl w:val="0"/>
                <w:numId w:val="59"/>
              </w:numPr>
              <w:spacing w:beforeLines="40" w:before="96" w:afterLines="40" w:after="96" w:line="240" w:lineRule="auto"/>
              <w:jc w:val="left"/>
            </w:pPr>
            <w:r>
              <w:t xml:space="preserve">$10,000 annually </w:t>
            </w:r>
          </w:p>
        </w:tc>
        <w:tc>
          <w:tcPr>
            <w:tcW w:w="1736" w:type="dxa"/>
          </w:tcPr>
          <w:p w14:paraId="328690F6" w14:textId="77777777" w:rsidR="000D1D20" w:rsidRDefault="000D1D20" w:rsidP="00FF5CBF">
            <w:pPr>
              <w:pStyle w:val="ListBullet0"/>
              <w:numPr>
                <w:ilvl w:val="0"/>
                <w:numId w:val="59"/>
              </w:numPr>
              <w:spacing w:beforeLines="40" w:before="96" w:afterLines="40" w:after="96" w:line="240" w:lineRule="auto"/>
            </w:pPr>
            <w:r>
              <w:t>Operational</w:t>
            </w:r>
          </w:p>
          <w:p w14:paraId="6F73FCDD" w14:textId="77777777" w:rsidR="000D1D20" w:rsidRDefault="000D1D20" w:rsidP="00FF5CBF">
            <w:pPr>
              <w:pStyle w:val="ListBullet0"/>
              <w:numPr>
                <w:ilvl w:val="0"/>
                <w:numId w:val="59"/>
              </w:numPr>
              <w:spacing w:beforeLines="40" w:before="96" w:afterLines="40" w:after="96" w:line="240" w:lineRule="auto"/>
            </w:pPr>
            <w:r>
              <w:t>Grants (e.g. CAP)</w:t>
            </w:r>
          </w:p>
        </w:tc>
        <w:tc>
          <w:tcPr>
            <w:tcW w:w="728" w:type="dxa"/>
          </w:tcPr>
          <w:p w14:paraId="4FB89FC6" w14:textId="77777777" w:rsidR="000D1D20" w:rsidRDefault="000D1D20" w:rsidP="001355DB">
            <w:pPr>
              <w:pStyle w:val="TableText"/>
            </w:pPr>
            <w:r>
              <w:t>x</w:t>
            </w:r>
          </w:p>
        </w:tc>
        <w:tc>
          <w:tcPr>
            <w:tcW w:w="0" w:type="auto"/>
          </w:tcPr>
          <w:p w14:paraId="78D64193" w14:textId="77777777" w:rsidR="000D1D20" w:rsidRDefault="000D1D20" w:rsidP="001355DB">
            <w:pPr>
              <w:pStyle w:val="TableText"/>
            </w:pPr>
            <w:r>
              <w:t>x</w:t>
            </w:r>
          </w:p>
        </w:tc>
        <w:tc>
          <w:tcPr>
            <w:tcW w:w="0" w:type="auto"/>
          </w:tcPr>
          <w:p w14:paraId="4E9E8BA7" w14:textId="77777777" w:rsidR="000D1D20" w:rsidRDefault="000D1D20" w:rsidP="001355DB">
            <w:pPr>
              <w:pStyle w:val="TableText"/>
            </w:pPr>
            <w:r>
              <w:t>x</w:t>
            </w:r>
          </w:p>
        </w:tc>
        <w:tc>
          <w:tcPr>
            <w:tcW w:w="0" w:type="auto"/>
          </w:tcPr>
          <w:p w14:paraId="33606B32" w14:textId="77777777" w:rsidR="000D1D20" w:rsidRDefault="000D1D20" w:rsidP="001355DB">
            <w:pPr>
              <w:pStyle w:val="TableText"/>
            </w:pPr>
            <w:r>
              <w:t>x</w:t>
            </w:r>
          </w:p>
        </w:tc>
      </w:tr>
      <w:tr w:rsidR="000D1D20" w14:paraId="28A60927" w14:textId="77777777" w:rsidTr="001355DB">
        <w:tc>
          <w:tcPr>
            <w:tcW w:w="0" w:type="auto"/>
            <w:vAlign w:val="center"/>
          </w:tcPr>
          <w:p w14:paraId="51E90AE3" w14:textId="77777777" w:rsidR="000D1D20" w:rsidRDefault="000D1D20" w:rsidP="001355DB">
            <w:pPr>
              <w:pStyle w:val="TableText"/>
            </w:pPr>
            <w:r w:rsidRPr="000856DF">
              <w:t>Notification on title (NR3)</w:t>
            </w:r>
          </w:p>
        </w:tc>
        <w:tc>
          <w:tcPr>
            <w:tcW w:w="0" w:type="auto"/>
            <w:vAlign w:val="center"/>
          </w:tcPr>
          <w:p w14:paraId="745388C5" w14:textId="77777777" w:rsidR="000D1D20" w:rsidRDefault="000D1D20" w:rsidP="00FF5CBF">
            <w:pPr>
              <w:pStyle w:val="ListBullet0"/>
              <w:numPr>
                <w:ilvl w:val="0"/>
                <w:numId w:val="59"/>
              </w:numPr>
              <w:spacing w:beforeLines="40" w:before="96" w:afterLines="40" w:after="96" w:line="240" w:lineRule="auto"/>
            </w:pPr>
            <w:r>
              <w:t>Item cost for investigations and implementation plans</w:t>
            </w:r>
          </w:p>
        </w:tc>
        <w:tc>
          <w:tcPr>
            <w:tcW w:w="0" w:type="auto"/>
          </w:tcPr>
          <w:p w14:paraId="43B2D365" w14:textId="77777777" w:rsidR="000D1D20" w:rsidRDefault="000D1D20" w:rsidP="00FF5CBF">
            <w:pPr>
              <w:pStyle w:val="ListBullet0"/>
              <w:numPr>
                <w:ilvl w:val="0"/>
                <w:numId w:val="59"/>
              </w:numPr>
              <w:spacing w:beforeLines="40" w:before="96" w:afterLines="40" w:after="96" w:line="240" w:lineRule="auto"/>
            </w:pPr>
            <w:r>
              <w:t>LGA</w:t>
            </w:r>
          </w:p>
          <w:p w14:paraId="3E649DD6" w14:textId="77777777" w:rsidR="000D1D20" w:rsidRDefault="000D1D20" w:rsidP="00FF5CBF">
            <w:pPr>
              <w:pStyle w:val="ListBullet0"/>
              <w:numPr>
                <w:ilvl w:val="0"/>
                <w:numId w:val="59"/>
              </w:numPr>
              <w:spacing w:beforeLines="40" w:before="96" w:afterLines="40" w:after="96" w:line="240" w:lineRule="auto"/>
            </w:pPr>
            <w:r>
              <w:t>Can seek support and assistance from DPLH, WALGA</w:t>
            </w:r>
          </w:p>
        </w:tc>
        <w:tc>
          <w:tcPr>
            <w:tcW w:w="0" w:type="auto"/>
          </w:tcPr>
          <w:p w14:paraId="3507F3E8" w14:textId="77777777" w:rsidR="000D1D20" w:rsidRDefault="000D1D20" w:rsidP="00FF5CBF">
            <w:pPr>
              <w:pStyle w:val="ListBullet0"/>
              <w:numPr>
                <w:ilvl w:val="0"/>
                <w:numId w:val="59"/>
              </w:numPr>
              <w:spacing w:beforeLines="40" w:before="96" w:afterLines="40" w:after="96" w:line="240" w:lineRule="auto"/>
            </w:pPr>
            <w:r>
              <w:t>Completed CHRMAP</w:t>
            </w:r>
          </w:p>
        </w:tc>
        <w:tc>
          <w:tcPr>
            <w:tcW w:w="0" w:type="auto"/>
          </w:tcPr>
          <w:p w14:paraId="0D24EAF8" w14:textId="77777777" w:rsidR="000D1D20" w:rsidRDefault="000D1D20" w:rsidP="00FF5CBF">
            <w:pPr>
              <w:pStyle w:val="ListBullet0"/>
              <w:numPr>
                <w:ilvl w:val="0"/>
                <w:numId w:val="59"/>
              </w:numPr>
              <w:spacing w:beforeLines="40" w:before="96" w:afterLines="40" w:after="96" w:line="240" w:lineRule="auto"/>
              <w:jc w:val="left"/>
            </w:pPr>
            <w:r>
              <w:t>$50,000</w:t>
            </w:r>
          </w:p>
          <w:p w14:paraId="5C56DDD8" w14:textId="77777777" w:rsidR="000D1D20" w:rsidRDefault="000D1D20" w:rsidP="00FF5CBF">
            <w:pPr>
              <w:pStyle w:val="ListBullet0"/>
              <w:numPr>
                <w:ilvl w:val="0"/>
                <w:numId w:val="59"/>
              </w:numPr>
              <w:spacing w:beforeLines="40" w:before="96" w:afterLines="40" w:after="96" w:line="240" w:lineRule="auto"/>
              <w:jc w:val="left"/>
            </w:pPr>
            <w:r>
              <w:t>(Plus 1% annual maintenance of $500)</w:t>
            </w:r>
          </w:p>
        </w:tc>
        <w:tc>
          <w:tcPr>
            <w:tcW w:w="1736" w:type="dxa"/>
          </w:tcPr>
          <w:p w14:paraId="0B8998B0" w14:textId="77777777" w:rsidR="000D1D20" w:rsidRDefault="000D1D20" w:rsidP="00FF5CBF">
            <w:pPr>
              <w:pStyle w:val="ListBullet0"/>
              <w:numPr>
                <w:ilvl w:val="0"/>
                <w:numId w:val="59"/>
              </w:numPr>
              <w:spacing w:beforeLines="40" w:before="96" w:afterLines="40" w:after="96" w:line="240" w:lineRule="auto"/>
            </w:pPr>
            <w:r>
              <w:t>Operational</w:t>
            </w:r>
          </w:p>
          <w:p w14:paraId="38B35D06" w14:textId="77777777" w:rsidR="000D1D20" w:rsidRDefault="000D1D20" w:rsidP="00FF5CBF">
            <w:pPr>
              <w:pStyle w:val="ListBullet0"/>
              <w:numPr>
                <w:ilvl w:val="0"/>
                <w:numId w:val="59"/>
              </w:numPr>
              <w:spacing w:beforeLines="40" w:before="96" w:afterLines="40" w:after="96" w:line="240" w:lineRule="auto"/>
            </w:pPr>
            <w:r>
              <w:t>Grants (e.g. CMPAP)</w:t>
            </w:r>
          </w:p>
        </w:tc>
        <w:tc>
          <w:tcPr>
            <w:tcW w:w="728" w:type="dxa"/>
          </w:tcPr>
          <w:p w14:paraId="540474CA" w14:textId="77777777" w:rsidR="000D1D20" w:rsidRDefault="000D1D20" w:rsidP="001355DB">
            <w:pPr>
              <w:pStyle w:val="TableText"/>
            </w:pPr>
            <w:r>
              <w:t>x</w:t>
            </w:r>
          </w:p>
        </w:tc>
        <w:tc>
          <w:tcPr>
            <w:tcW w:w="0" w:type="auto"/>
          </w:tcPr>
          <w:p w14:paraId="4A013968" w14:textId="77777777" w:rsidR="000D1D20" w:rsidRDefault="000D1D20" w:rsidP="001355DB">
            <w:pPr>
              <w:pStyle w:val="TableText"/>
            </w:pPr>
            <w:r>
              <w:t>x</w:t>
            </w:r>
          </w:p>
        </w:tc>
        <w:tc>
          <w:tcPr>
            <w:tcW w:w="0" w:type="auto"/>
          </w:tcPr>
          <w:p w14:paraId="2C042452" w14:textId="77777777" w:rsidR="000D1D20" w:rsidRDefault="000D1D20" w:rsidP="001355DB">
            <w:pPr>
              <w:pStyle w:val="TableText"/>
            </w:pPr>
          </w:p>
        </w:tc>
        <w:tc>
          <w:tcPr>
            <w:tcW w:w="0" w:type="auto"/>
          </w:tcPr>
          <w:p w14:paraId="35F239F4" w14:textId="77777777" w:rsidR="000D1D20" w:rsidRDefault="000D1D20" w:rsidP="001355DB">
            <w:pPr>
              <w:pStyle w:val="TableText"/>
            </w:pPr>
          </w:p>
        </w:tc>
      </w:tr>
      <w:tr w:rsidR="000D1D20" w14:paraId="68F9CC7B" w14:textId="77777777" w:rsidTr="001355DB">
        <w:tc>
          <w:tcPr>
            <w:tcW w:w="0" w:type="auto"/>
            <w:vAlign w:val="center"/>
          </w:tcPr>
          <w:p w14:paraId="04B9E9E6" w14:textId="77777777" w:rsidR="000D1D20" w:rsidRPr="001D73F9" w:rsidRDefault="000D1D20" w:rsidP="001355DB">
            <w:pPr>
              <w:pStyle w:val="TableText"/>
            </w:pPr>
            <w:r w:rsidRPr="001D73F9">
              <w:t>Protection Structure Audit (NR2)</w:t>
            </w:r>
          </w:p>
        </w:tc>
        <w:tc>
          <w:tcPr>
            <w:tcW w:w="0" w:type="auto"/>
            <w:vAlign w:val="center"/>
          </w:tcPr>
          <w:p w14:paraId="6B4ED007" w14:textId="77777777" w:rsidR="000D1D20" w:rsidRPr="001D73F9" w:rsidRDefault="000D1D20" w:rsidP="00FF5CBF">
            <w:pPr>
              <w:pStyle w:val="ListBullet0"/>
              <w:numPr>
                <w:ilvl w:val="0"/>
                <w:numId w:val="59"/>
              </w:numPr>
              <w:spacing w:beforeLines="40" w:before="96" w:afterLines="40" w:after="96" w:line="240" w:lineRule="auto"/>
            </w:pPr>
            <w:r>
              <w:t>Item cost to inspect coastal asset condition, influence on sediment transport and inundation and remaining design life on all coastal management structures</w:t>
            </w:r>
          </w:p>
          <w:p w14:paraId="498F9494" w14:textId="77777777" w:rsidR="000D1D20" w:rsidRPr="001D73F9" w:rsidRDefault="000D1D20" w:rsidP="00FF5CBF">
            <w:pPr>
              <w:pStyle w:val="ListBullet0"/>
              <w:numPr>
                <w:ilvl w:val="0"/>
                <w:numId w:val="59"/>
              </w:numPr>
              <w:spacing w:beforeLines="40" w:before="96" w:afterLines="40" w:after="96" w:line="240" w:lineRule="auto"/>
            </w:pPr>
            <w:r>
              <w:t>Includes Port revetments, Tug harbour and Albany Waterfront Marina breakwaters and revetments for Anzac Peace Park and Princess Royal Drive</w:t>
            </w:r>
          </w:p>
        </w:tc>
        <w:tc>
          <w:tcPr>
            <w:tcW w:w="0" w:type="auto"/>
          </w:tcPr>
          <w:p w14:paraId="2443CB4F" w14:textId="77777777" w:rsidR="000D1D20" w:rsidRDefault="000D1D20" w:rsidP="00FF5CBF">
            <w:pPr>
              <w:pStyle w:val="ListBullet0"/>
              <w:numPr>
                <w:ilvl w:val="0"/>
                <w:numId w:val="59"/>
              </w:numPr>
              <w:spacing w:beforeLines="40" w:before="96" w:afterLines="40" w:after="96" w:line="240" w:lineRule="auto"/>
            </w:pPr>
            <w:r>
              <w:t>LGA,</w:t>
            </w:r>
          </w:p>
          <w:p w14:paraId="57DB4B7F" w14:textId="77777777" w:rsidR="000D1D20" w:rsidRDefault="000D1D20" w:rsidP="00FF5CBF">
            <w:pPr>
              <w:pStyle w:val="ListBullet0"/>
              <w:numPr>
                <w:ilvl w:val="0"/>
                <w:numId w:val="59"/>
              </w:numPr>
              <w:spacing w:beforeLines="40" w:before="96" w:afterLines="40" w:after="96" w:line="240" w:lineRule="auto"/>
            </w:pPr>
            <w:r>
              <w:t>Southern Ports</w:t>
            </w:r>
          </w:p>
        </w:tc>
        <w:tc>
          <w:tcPr>
            <w:tcW w:w="0" w:type="auto"/>
          </w:tcPr>
          <w:p w14:paraId="12EC3103" w14:textId="77777777" w:rsidR="000D1D20" w:rsidRDefault="000D1D20" w:rsidP="00FF5CBF">
            <w:pPr>
              <w:pStyle w:val="ListBullet0"/>
              <w:numPr>
                <w:ilvl w:val="0"/>
                <w:numId w:val="59"/>
              </w:numPr>
              <w:spacing w:beforeLines="40" w:before="96" w:afterLines="40" w:after="96" w:line="240" w:lineRule="auto"/>
            </w:pPr>
            <w:r>
              <w:t>Completed CHRMAP</w:t>
            </w:r>
          </w:p>
        </w:tc>
        <w:tc>
          <w:tcPr>
            <w:tcW w:w="0" w:type="auto"/>
          </w:tcPr>
          <w:p w14:paraId="0A210CD2" w14:textId="77777777" w:rsidR="000D1D20" w:rsidRDefault="000D1D20" w:rsidP="00FF5CBF">
            <w:pPr>
              <w:pStyle w:val="ListBullet0"/>
              <w:numPr>
                <w:ilvl w:val="0"/>
                <w:numId w:val="59"/>
              </w:numPr>
              <w:spacing w:beforeLines="40" w:before="96" w:afterLines="40" w:after="96" w:line="240" w:lineRule="auto"/>
              <w:jc w:val="left"/>
            </w:pPr>
            <w:r>
              <w:t>$150,000</w:t>
            </w:r>
          </w:p>
          <w:p w14:paraId="30F587C4" w14:textId="77777777" w:rsidR="000D1D20" w:rsidRDefault="000D1D20" w:rsidP="00FF5CBF">
            <w:pPr>
              <w:pStyle w:val="ListBullet0"/>
              <w:numPr>
                <w:ilvl w:val="0"/>
                <w:numId w:val="59"/>
              </w:numPr>
              <w:spacing w:beforeLines="40" w:before="96" w:afterLines="40" w:after="96" w:line="240" w:lineRule="auto"/>
              <w:jc w:val="left"/>
            </w:pPr>
            <w:r>
              <w:t>(Plus 2% annual maintenance of $3,000)</w:t>
            </w:r>
          </w:p>
        </w:tc>
        <w:tc>
          <w:tcPr>
            <w:tcW w:w="1736" w:type="dxa"/>
          </w:tcPr>
          <w:p w14:paraId="56663BE0" w14:textId="77777777" w:rsidR="000D1D20" w:rsidRDefault="000D1D20" w:rsidP="00FF5CBF">
            <w:pPr>
              <w:pStyle w:val="ListBullet0"/>
              <w:numPr>
                <w:ilvl w:val="0"/>
                <w:numId w:val="59"/>
              </w:numPr>
              <w:spacing w:beforeLines="40" w:before="96" w:afterLines="40" w:after="96" w:line="240" w:lineRule="auto"/>
            </w:pPr>
            <w:r>
              <w:t>Operational</w:t>
            </w:r>
          </w:p>
          <w:p w14:paraId="2B13D9C4" w14:textId="77777777" w:rsidR="000D1D20" w:rsidRDefault="000D1D20" w:rsidP="00FF5CBF">
            <w:pPr>
              <w:pStyle w:val="ListBullet0"/>
              <w:numPr>
                <w:ilvl w:val="0"/>
                <w:numId w:val="59"/>
              </w:numPr>
              <w:spacing w:beforeLines="40" w:before="96" w:afterLines="40" w:after="96" w:line="240" w:lineRule="auto"/>
            </w:pPr>
            <w:r>
              <w:t>Grants (e.g. CAP)</w:t>
            </w:r>
          </w:p>
        </w:tc>
        <w:tc>
          <w:tcPr>
            <w:tcW w:w="728" w:type="dxa"/>
          </w:tcPr>
          <w:p w14:paraId="3396026E" w14:textId="77777777" w:rsidR="000D1D20" w:rsidRDefault="000D1D20" w:rsidP="001355DB">
            <w:pPr>
              <w:pStyle w:val="TableText"/>
            </w:pPr>
          </w:p>
        </w:tc>
        <w:tc>
          <w:tcPr>
            <w:tcW w:w="0" w:type="auto"/>
          </w:tcPr>
          <w:p w14:paraId="1CE801B7" w14:textId="77777777" w:rsidR="000D1D20" w:rsidRDefault="000D1D20" w:rsidP="001355DB">
            <w:pPr>
              <w:pStyle w:val="TableText"/>
            </w:pPr>
            <w:r>
              <w:t>x</w:t>
            </w:r>
          </w:p>
        </w:tc>
        <w:tc>
          <w:tcPr>
            <w:tcW w:w="0" w:type="auto"/>
          </w:tcPr>
          <w:p w14:paraId="0B969576" w14:textId="77777777" w:rsidR="000D1D20" w:rsidRDefault="000D1D20" w:rsidP="001355DB">
            <w:pPr>
              <w:pStyle w:val="TableText"/>
            </w:pPr>
            <w:r>
              <w:t>x</w:t>
            </w:r>
          </w:p>
        </w:tc>
        <w:tc>
          <w:tcPr>
            <w:tcW w:w="0" w:type="auto"/>
          </w:tcPr>
          <w:p w14:paraId="2AF08A63" w14:textId="77777777" w:rsidR="000D1D20" w:rsidRDefault="000D1D20" w:rsidP="001355DB">
            <w:pPr>
              <w:pStyle w:val="TableText"/>
            </w:pPr>
          </w:p>
        </w:tc>
      </w:tr>
      <w:tr w:rsidR="000D1D20" w14:paraId="118A78FC" w14:textId="77777777" w:rsidTr="001355DB">
        <w:tc>
          <w:tcPr>
            <w:tcW w:w="0" w:type="auto"/>
            <w:vAlign w:val="center"/>
          </w:tcPr>
          <w:p w14:paraId="522686B0" w14:textId="77777777" w:rsidR="000D1D20" w:rsidRDefault="000D1D20" w:rsidP="001355DB">
            <w:pPr>
              <w:pStyle w:val="TableText"/>
            </w:pPr>
            <w:r w:rsidRPr="000856DF">
              <w:t>Emergency evacuation plans (NR4)</w:t>
            </w:r>
          </w:p>
        </w:tc>
        <w:tc>
          <w:tcPr>
            <w:tcW w:w="0" w:type="auto"/>
            <w:vAlign w:val="center"/>
          </w:tcPr>
          <w:p w14:paraId="2B09FF61" w14:textId="77777777" w:rsidR="000D1D20" w:rsidRDefault="000D1D20" w:rsidP="00FF5CBF">
            <w:pPr>
              <w:pStyle w:val="ListBullet0"/>
              <w:numPr>
                <w:ilvl w:val="0"/>
                <w:numId w:val="59"/>
              </w:numPr>
              <w:spacing w:beforeLines="40" w:before="96" w:afterLines="40" w:after="96" w:line="240" w:lineRule="auto"/>
            </w:pPr>
            <w:r>
              <w:t>Item cost for investigations and evacuation plans</w:t>
            </w:r>
          </w:p>
        </w:tc>
        <w:tc>
          <w:tcPr>
            <w:tcW w:w="0" w:type="auto"/>
          </w:tcPr>
          <w:p w14:paraId="3997063A" w14:textId="77777777" w:rsidR="000D1D20" w:rsidRDefault="000D1D20" w:rsidP="00FF5CBF">
            <w:pPr>
              <w:pStyle w:val="ListBullet0"/>
              <w:numPr>
                <w:ilvl w:val="0"/>
                <w:numId w:val="59"/>
              </w:numPr>
              <w:spacing w:beforeLines="40" w:before="96" w:afterLines="40" w:after="96" w:line="240" w:lineRule="auto"/>
            </w:pPr>
            <w:r>
              <w:t>LGA</w:t>
            </w:r>
          </w:p>
          <w:p w14:paraId="71D6BEAD" w14:textId="77777777" w:rsidR="000D1D20" w:rsidRDefault="000D1D20" w:rsidP="00FF5CBF">
            <w:pPr>
              <w:pStyle w:val="ListBullet0"/>
              <w:numPr>
                <w:ilvl w:val="0"/>
                <w:numId w:val="59"/>
              </w:numPr>
              <w:spacing w:beforeLines="40" w:before="96" w:afterLines="40" w:after="96" w:line="240" w:lineRule="auto"/>
            </w:pPr>
            <w:r>
              <w:t>Southern Ports</w:t>
            </w:r>
          </w:p>
        </w:tc>
        <w:tc>
          <w:tcPr>
            <w:tcW w:w="0" w:type="auto"/>
          </w:tcPr>
          <w:p w14:paraId="565DEA5B" w14:textId="77777777" w:rsidR="000D1D20" w:rsidRDefault="000D1D20" w:rsidP="00FF5CBF">
            <w:pPr>
              <w:pStyle w:val="ListBullet0"/>
              <w:numPr>
                <w:ilvl w:val="0"/>
                <w:numId w:val="59"/>
              </w:numPr>
              <w:spacing w:beforeLines="40" w:before="96" w:afterLines="40" w:after="96" w:line="240" w:lineRule="auto"/>
            </w:pPr>
            <w:r>
              <w:t>Completed CHRMAP</w:t>
            </w:r>
          </w:p>
        </w:tc>
        <w:tc>
          <w:tcPr>
            <w:tcW w:w="0" w:type="auto"/>
          </w:tcPr>
          <w:p w14:paraId="6BF49A78" w14:textId="77777777" w:rsidR="000D1D20" w:rsidRDefault="000D1D20" w:rsidP="00FF5CBF">
            <w:pPr>
              <w:pStyle w:val="ListBullet0"/>
              <w:numPr>
                <w:ilvl w:val="0"/>
                <w:numId w:val="59"/>
              </w:numPr>
              <w:spacing w:beforeLines="40" w:before="96" w:afterLines="40" w:after="96" w:line="240" w:lineRule="auto"/>
              <w:jc w:val="left"/>
            </w:pPr>
            <w:r>
              <w:t>$100,000</w:t>
            </w:r>
          </w:p>
          <w:p w14:paraId="21D6DFA3" w14:textId="77777777" w:rsidR="000D1D20" w:rsidRDefault="000D1D20" w:rsidP="00FF5CBF">
            <w:pPr>
              <w:pStyle w:val="ListBullet0"/>
              <w:numPr>
                <w:ilvl w:val="0"/>
                <w:numId w:val="59"/>
              </w:numPr>
              <w:spacing w:beforeLines="40" w:before="96" w:afterLines="40" w:after="96" w:line="240" w:lineRule="auto"/>
              <w:jc w:val="left"/>
            </w:pPr>
            <w:r>
              <w:t>(Plus 1% annual maintenance of $1,000)</w:t>
            </w:r>
          </w:p>
        </w:tc>
        <w:tc>
          <w:tcPr>
            <w:tcW w:w="1736" w:type="dxa"/>
          </w:tcPr>
          <w:p w14:paraId="4B4E3560" w14:textId="77777777" w:rsidR="000D1D20" w:rsidRDefault="000D1D20" w:rsidP="00FF5CBF">
            <w:pPr>
              <w:pStyle w:val="ListBullet0"/>
              <w:numPr>
                <w:ilvl w:val="0"/>
                <w:numId w:val="59"/>
              </w:numPr>
              <w:spacing w:beforeLines="40" w:before="96" w:afterLines="40" w:after="96" w:line="240" w:lineRule="auto"/>
            </w:pPr>
            <w:r>
              <w:t>Operational</w:t>
            </w:r>
          </w:p>
          <w:p w14:paraId="12627074" w14:textId="77777777" w:rsidR="000D1D20" w:rsidRDefault="000D1D20" w:rsidP="00FF5CBF">
            <w:pPr>
              <w:pStyle w:val="ListBullet0"/>
              <w:numPr>
                <w:ilvl w:val="0"/>
                <w:numId w:val="59"/>
              </w:numPr>
              <w:spacing w:beforeLines="40" w:before="96" w:afterLines="40" w:after="96" w:line="240" w:lineRule="auto"/>
            </w:pPr>
            <w:r>
              <w:t>Grants (e.g. DRF)</w:t>
            </w:r>
          </w:p>
        </w:tc>
        <w:tc>
          <w:tcPr>
            <w:tcW w:w="728" w:type="dxa"/>
          </w:tcPr>
          <w:p w14:paraId="6580DE0B" w14:textId="77777777" w:rsidR="000D1D20" w:rsidRDefault="000D1D20" w:rsidP="001355DB">
            <w:pPr>
              <w:pStyle w:val="TableText"/>
            </w:pPr>
            <w:r>
              <w:t>x</w:t>
            </w:r>
          </w:p>
        </w:tc>
        <w:tc>
          <w:tcPr>
            <w:tcW w:w="0" w:type="auto"/>
          </w:tcPr>
          <w:p w14:paraId="1BD325EA" w14:textId="77777777" w:rsidR="000D1D20" w:rsidRDefault="000D1D20" w:rsidP="001355DB">
            <w:pPr>
              <w:pStyle w:val="TableText"/>
            </w:pPr>
            <w:r>
              <w:t>x</w:t>
            </w:r>
          </w:p>
        </w:tc>
        <w:tc>
          <w:tcPr>
            <w:tcW w:w="0" w:type="auto"/>
          </w:tcPr>
          <w:p w14:paraId="0E62344A" w14:textId="77777777" w:rsidR="000D1D20" w:rsidRDefault="000D1D20" w:rsidP="001355DB">
            <w:pPr>
              <w:pStyle w:val="TableText"/>
            </w:pPr>
          </w:p>
        </w:tc>
        <w:tc>
          <w:tcPr>
            <w:tcW w:w="0" w:type="auto"/>
          </w:tcPr>
          <w:p w14:paraId="687CA9C9" w14:textId="77777777" w:rsidR="000D1D20" w:rsidRDefault="000D1D20" w:rsidP="001355DB">
            <w:pPr>
              <w:pStyle w:val="TableText"/>
            </w:pPr>
          </w:p>
        </w:tc>
      </w:tr>
      <w:tr w:rsidR="000D1D20" w14:paraId="704E96FC" w14:textId="77777777" w:rsidTr="001355DB">
        <w:tc>
          <w:tcPr>
            <w:tcW w:w="0" w:type="auto"/>
            <w:vAlign w:val="center"/>
          </w:tcPr>
          <w:p w14:paraId="085023C8" w14:textId="77777777" w:rsidR="000D1D20" w:rsidRDefault="000D1D20" w:rsidP="001355DB">
            <w:pPr>
              <w:pStyle w:val="TableText"/>
            </w:pPr>
            <w:r w:rsidRPr="000856DF">
              <w:t>Prevention of further development / prohibit expansion of existing use rights (PMR3)</w:t>
            </w:r>
          </w:p>
        </w:tc>
        <w:tc>
          <w:tcPr>
            <w:tcW w:w="0" w:type="auto"/>
            <w:vAlign w:val="center"/>
          </w:tcPr>
          <w:p w14:paraId="05796708" w14:textId="77777777" w:rsidR="000D1D20" w:rsidRDefault="000D1D20" w:rsidP="00FF5CBF">
            <w:pPr>
              <w:pStyle w:val="ListBullet0"/>
              <w:numPr>
                <w:ilvl w:val="0"/>
                <w:numId w:val="59"/>
              </w:numPr>
              <w:spacing w:beforeLines="40" w:before="96" w:afterLines="40" w:after="96" w:line="240" w:lineRule="auto"/>
            </w:pPr>
            <w:r>
              <w:t>Item cost for investigations and management plans</w:t>
            </w:r>
          </w:p>
          <w:p w14:paraId="1D725A4D" w14:textId="77777777" w:rsidR="000D1D20" w:rsidRDefault="000D1D20" w:rsidP="00FF5CBF">
            <w:pPr>
              <w:pStyle w:val="ListBullet0"/>
              <w:numPr>
                <w:ilvl w:val="0"/>
                <w:numId w:val="59"/>
              </w:numPr>
              <w:spacing w:beforeLines="40" w:before="96" w:afterLines="40" w:after="96" w:line="240" w:lineRule="auto"/>
            </w:pPr>
            <w:r>
              <w:t>Investigate opportunities for leaseback of land and land swaps in the context of planned and managed retreat. Seek legal advice regarding the basis of agreements with landholders and whether opt-ins can be time constrained</w:t>
            </w:r>
          </w:p>
        </w:tc>
        <w:tc>
          <w:tcPr>
            <w:tcW w:w="0" w:type="auto"/>
          </w:tcPr>
          <w:p w14:paraId="46FEFEE2" w14:textId="77777777" w:rsidR="000D1D20" w:rsidRDefault="000D1D20" w:rsidP="00FF5CBF">
            <w:pPr>
              <w:pStyle w:val="ListBullet0"/>
              <w:numPr>
                <w:ilvl w:val="0"/>
                <w:numId w:val="59"/>
              </w:numPr>
              <w:spacing w:beforeLines="40" w:before="96" w:afterLines="40" w:after="96" w:line="240" w:lineRule="auto"/>
            </w:pPr>
            <w:r>
              <w:t>LGA</w:t>
            </w:r>
          </w:p>
          <w:p w14:paraId="3F8505CF" w14:textId="77777777" w:rsidR="000D1D20" w:rsidRDefault="000D1D20" w:rsidP="00FF5CBF">
            <w:pPr>
              <w:pStyle w:val="ListBullet0"/>
              <w:numPr>
                <w:ilvl w:val="0"/>
                <w:numId w:val="59"/>
              </w:numPr>
              <w:spacing w:beforeLines="40" w:before="96" w:afterLines="40" w:after="96" w:line="240" w:lineRule="auto"/>
            </w:pPr>
            <w:r>
              <w:t>Southern Ports</w:t>
            </w:r>
          </w:p>
        </w:tc>
        <w:tc>
          <w:tcPr>
            <w:tcW w:w="0" w:type="auto"/>
          </w:tcPr>
          <w:p w14:paraId="6D3CAAA4" w14:textId="77777777" w:rsidR="000D1D20" w:rsidRDefault="000D1D20" w:rsidP="00FF5CBF">
            <w:pPr>
              <w:pStyle w:val="ListBullet0"/>
              <w:numPr>
                <w:ilvl w:val="0"/>
                <w:numId w:val="59"/>
              </w:numPr>
              <w:spacing w:beforeLines="40" w:before="96" w:afterLines="40" w:after="96" w:line="240" w:lineRule="auto"/>
            </w:pPr>
            <w:r>
              <w:t>Completed CHRMAP</w:t>
            </w:r>
          </w:p>
        </w:tc>
        <w:tc>
          <w:tcPr>
            <w:tcW w:w="0" w:type="auto"/>
          </w:tcPr>
          <w:p w14:paraId="4B6B4A9E" w14:textId="77777777" w:rsidR="000D1D20" w:rsidRDefault="000D1D20" w:rsidP="00FF5CBF">
            <w:pPr>
              <w:pStyle w:val="ListBullet0"/>
              <w:numPr>
                <w:ilvl w:val="0"/>
                <w:numId w:val="59"/>
              </w:numPr>
              <w:spacing w:beforeLines="40" w:before="96" w:afterLines="40" w:after="96" w:line="240" w:lineRule="auto"/>
              <w:jc w:val="left"/>
            </w:pPr>
            <w:r>
              <w:t>$30,000</w:t>
            </w:r>
          </w:p>
          <w:p w14:paraId="6E1A5EBF" w14:textId="77777777" w:rsidR="000D1D20" w:rsidRDefault="000D1D20" w:rsidP="00FF5CBF">
            <w:pPr>
              <w:pStyle w:val="ListBullet0"/>
              <w:numPr>
                <w:ilvl w:val="0"/>
                <w:numId w:val="59"/>
              </w:numPr>
              <w:spacing w:beforeLines="40" w:before="96" w:afterLines="40" w:after="96" w:line="240" w:lineRule="auto"/>
              <w:jc w:val="left"/>
            </w:pPr>
            <w:r>
              <w:t>(Plus 1% annual maintenance of $300)</w:t>
            </w:r>
          </w:p>
        </w:tc>
        <w:tc>
          <w:tcPr>
            <w:tcW w:w="1736" w:type="dxa"/>
          </w:tcPr>
          <w:p w14:paraId="04B1ACF1" w14:textId="77777777" w:rsidR="000D1D20" w:rsidRDefault="000D1D20" w:rsidP="00FF5CBF">
            <w:pPr>
              <w:pStyle w:val="ListBullet0"/>
              <w:numPr>
                <w:ilvl w:val="0"/>
                <w:numId w:val="59"/>
              </w:numPr>
              <w:spacing w:beforeLines="40" w:before="96" w:afterLines="40" w:after="96" w:line="240" w:lineRule="auto"/>
            </w:pPr>
            <w:r>
              <w:t>Operational</w:t>
            </w:r>
          </w:p>
          <w:p w14:paraId="2F444E3A" w14:textId="77777777" w:rsidR="000D1D20" w:rsidRDefault="000D1D20" w:rsidP="00FF5CBF">
            <w:pPr>
              <w:pStyle w:val="ListBullet0"/>
              <w:numPr>
                <w:ilvl w:val="0"/>
                <w:numId w:val="59"/>
              </w:numPr>
              <w:spacing w:beforeLines="40" w:before="96" w:afterLines="40" w:after="96" w:line="240" w:lineRule="auto"/>
            </w:pPr>
            <w:r>
              <w:t>Grants (e.g. CMPAP)</w:t>
            </w:r>
          </w:p>
        </w:tc>
        <w:tc>
          <w:tcPr>
            <w:tcW w:w="728" w:type="dxa"/>
          </w:tcPr>
          <w:p w14:paraId="6A79D525" w14:textId="77777777" w:rsidR="000D1D20" w:rsidRDefault="000D1D20" w:rsidP="001355DB">
            <w:pPr>
              <w:pStyle w:val="TableText"/>
            </w:pPr>
            <w:r>
              <w:t>x</w:t>
            </w:r>
          </w:p>
        </w:tc>
        <w:tc>
          <w:tcPr>
            <w:tcW w:w="0" w:type="auto"/>
          </w:tcPr>
          <w:p w14:paraId="5EF2D09E" w14:textId="77777777" w:rsidR="000D1D20" w:rsidRDefault="000D1D20" w:rsidP="001355DB">
            <w:pPr>
              <w:pStyle w:val="TableText"/>
            </w:pPr>
            <w:r>
              <w:t>x</w:t>
            </w:r>
          </w:p>
        </w:tc>
        <w:tc>
          <w:tcPr>
            <w:tcW w:w="0" w:type="auto"/>
          </w:tcPr>
          <w:p w14:paraId="243A37FC" w14:textId="77777777" w:rsidR="000D1D20" w:rsidRDefault="000D1D20" w:rsidP="001355DB">
            <w:pPr>
              <w:pStyle w:val="TableText"/>
            </w:pPr>
          </w:p>
        </w:tc>
        <w:tc>
          <w:tcPr>
            <w:tcW w:w="0" w:type="auto"/>
          </w:tcPr>
          <w:p w14:paraId="68827850" w14:textId="77777777" w:rsidR="000D1D20" w:rsidRDefault="000D1D20" w:rsidP="001355DB">
            <w:pPr>
              <w:pStyle w:val="TableText"/>
            </w:pPr>
          </w:p>
        </w:tc>
      </w:tr>
      <w:tr w:rsidR="000D1D20" w14:paraId="00B2AFDB" w14:textId="77777777" w:rsidTr="001355DB">
        <w:tc>
          <w:tcPr>
            <w:tcW w:w="0" w:type="auto"/>
            <w:vAlign w:val="center"/>
          </w:tcPr>
          <w:p w14:paraId="12034067" w14:textId="77777777" w:rsidR="000D1D20" w:rsidRDefault="000D1D20" w:rsidP="001355DB">
            <w:pPr>
              <w:pStyle w:val="TableText"/>
            </w:pPr>
            <w:r w:rsidRPr="000856DF">
              <w:t>Design assets to withstand impacts (AC1)</w:t>
            </w:r>
          </w:p>
        </w:tc>
        <w:tc>
          <w:tcPr>
            <w:tcW w:w="0" w:type="auto"/>
            <w:vAlign w:val="center"/>
          </w:tcPr>
          <w:p w14:paraId="21CA76D4" w14:textId="77777777" w:rsidR="000D1D20" w:rsidRDefault="000D1D20" w:rsidP="00FF5CBF">
            <w:pPr>
              <w:pStyle w:val="ListBullet0"/>
              <w:numPr>
                <w:ilvl w:val="0"/>
                <w:numId w:val="59"/>
              </w:numPr>
              <w:spacing w:beforeLines="40" w:before="96" w:afterLines="40" w:after="96" w:line="240" w:lineRule="auto"/>
            </w:pPr>
            <w:r>
              <w:t>Item cost for investigations and management plans – primarily any case-by-case work needed for public assets</w:t>
            </w:r>
          </w:p>
        </w:tc>
        <w:tc>
          <w:tcPr>
            <w:tcW w:w="0" w:type="auto"/>
          </w:tcPr>
          <w:p w14:paraId="6F3D5A76" w14:textId="77777777" w:rsidR="000D1D20" w:rsidRDefault="000D1D20" w:rsidP="00FF5CBF">
            <w:pPr>
              <w:pStyle w:val="ListBullet0"/>
              <w:numPr>
                <w:ilvl w:val="0"/>
                <w:numId w:val="59"/>
              </w:numPr>
              <w:spacing w:beforeLines="40" w:before="96" w:afterLines="40" w:after="96" w:line="240" w:lineRule="auto"/>
            </w:pPr>
            <w:r>
              <w:t>LGA</w:t>
            </w:r>
          </w:p>
          <w:p w14:paraId="1FC44A98" w14:textId="77777777" w:rsidR="000D1D20" w:rsidRDefault="000D1D20" w:rsidP="00FF5CBF">
            <w:pPr>
              <w:pStyle w:val="ListBullet0"/>
              <w:numPr>
                <w:ilvl w:val="0"/>
                <w:numId w:val="59"/>
              </w:numPr>
              <w:spacing w:beforeLines="40" w:before="96" w:afterLines="40" w:after="96" w:line="240" w:lineRule="auto"/>
            </w:pPr>
            <w:r>
              <w:t>Southern Ports</w:t>
            </w:r>
          </w:p>
        </w:tc>
        <w:tc>
          <w:tcPr>
            <w:tcW w:w="0" w:type="auto"/>
          </w:tcPr>
          <w:p w14:paraId="486E6815" w14:textId="77777777" w:rsidR="000D1D20" w:rsidRDefault="000D1D20" w:rsidP="00FF5CBF">
            <w:pPr>
              <w:pStyle w:val="ListBullet0"/>
              <w:numPr>
                <w:ilvl w:val="0"/>
                <w:numId w:val="59"/>
              </w:numPr>
              <w:spacing w:beforeLines="40" w:before="96" w:afterLines="40" w:after="96" w:line="240" w:lineRule="auto"/>
            </w:pPr>
            <w:r>
              <w:t>Completed CHRMAP</w:t>
            </w:r>
          </w:p>
        </w:tc>
        <w:tc>
          <w:tcPr>
            <w:tcW w:w="0" w:type="auto"/>
          </w:tcPr>
          <w:p w14:paraId="4E9BD6AE" w14:textId="77777777" w:rsidR="000D1D20" w:rsidRDefault="000D1D20" w:rsidP="00FF5CBF">
            <w:pPr>
              <w:pStyle w:val="ListBullet0"/>
              <w:numPr>
                <w:ilvl w:val="0"/>
                <w:numId w:val="59"/>
              </w:numPr>
              <w:spacing w:beforeLines="40" w:before="96" w:afterLines="40" w:after="96" w:line="240" w:lineRule="auto"/>
              <w:jc w:val="left"/>
            </w:pPr>
            <w:r>
              <w:t>$100,000</w:t>
            </w:r>
          </w:p>
          <w:p w14:paraId="4B879E03" w14:textId="77777777" w:rsidR="000D1D20" w:rsidRDefault="000D1D20" w:rsidP="00FF5CBF">
            <w:pPr>
              <w:pStyle w:val="ListBullet0"/>
              <w:numPr>
                <w:ilvl w:val="0"/>
                <w:numId w:val="59"/>
              </w:numPr>
              <w:spacing w:beforeLines="40" w:before="96" w:afterLines="40" w:after="96" w:line="240" w:lineRule="auto"/>
              <w:jc w:val="left"/>
            </w:pPr>
            <w:r>
              <w:t>(Plus 1% annual maintenance of $1,000)</w:t>
            </w:r>
          </w:p>
        </w:tc>
        <w:tc>
          <w:tcPr>
            <w:tcW w:w="1736" w:type="dxa"/>
          </w:tcPr>
          <w:p w14:paraId="2CC5B9E6" w14:textId="77777777" w:rsidR="000D1D20" w:rsidRDefault="000D1D20" w:rsidP="00FF5CBF">
            <w:pPr>
              <w:pStyle w:val="ListBullet0"/>
              <w:numPr>
                <w:ilvl w:val="0"/>
                <w:numId w:val="59"/>
              </w:numPr>
              <w:spacing w:beforeLines="40" w:before="96" w:afterLines="40" w:after="96" w:line="240" w:lineRule="auto"/>
            </w:pPr>
            <w:r>
              <w:t>Operational</w:t>
            </w:r>
          </w:p>
          <w:p w14:paraId="38797A1B" w14:textId="77777777" w:rsidR="000D1D20" w:rsidRDefault="000D1D20" w:rsidP="00FF5CBF">
            <w:pPr>
              <w:pStyle w:val="ListBullet0"/>
              <w:numPr>
                <w:ilvl w:val="0"/>
                <w:numId w:val="59"/>
              </w:numPr>
              <w:spacing w:beforeLines="40" w:before="96" w:afterLines="40" w:after="96" w:line="240" w:lineRule="auto"/>
            </w:pPr>
            <w:r>
              <w:t>Grants</w:t>
            </w:r>
          </w:p>
        </w:tc>
        <w:tc>
          <w:tcPr>
            <w:tcW w:w="728" w:type="dxa"/>
          </w:tcPr>
          <w:p w14:paraId="274E3793" w14:textId="77777777" w:rsidR="000D1D20" w:rsidRDefault="000D1D20" w:rsidP="001355DB">
            <w:pPr>
              <w:pStyle w:val="TableText"/>
            </w:pPr>
            <w:r>
              <w:t>x</w:t>
            </w:r>
          </w:p>
        </w:tc>
        <w:tc>
          <w:tcPr>
            <w:tcW w:w="0" w:type="auto"/>
          </w:tcPr>
          <w:p w14:paraId="7EB6CD1A" w14:textId="77777777" w:rsidR="000D1D20" w:rsidRDefault="000D1D20" w:rsidP="001355DB">
            <w:pPr>
              <w:pStyle w:val="TableText"/>
            </w:pPr>
            <w:r>
              <w:t>x</w:t>
            </w:r>
          </w:p>
        </w:tc>
        <w:tc>
          <w:tcPr>
            <w:tcW w:w="0" w:type="auto"/>
          </w:tcPr>
          <w:p w14:paraId="45E76252" w14:textId="77777777" w:rsidR="000D1D20" w:rsidRDefault="000D1D20" w:rsidP="001355DB">
            <w:pPr>
              <w:pStyle w:val="TableText"/>
            </w:pPr>
          </w:p>
        </w:tc>
        <w:tc>
          <w:tcPr>
            <w:tcW w:w="0" w:type="auto"/>
          </w:tcPr>
          <w:p w14:paraId="58B3B1A3" w14:textId="77777777" w:rsidR="000D1D20" w:rsidRDefault="000D1D20" w:rsidP="001355DB">
            <w:pPr>
              <w:pStyle w:val="TableText"/>
            </w:pPr>
          </w:p>
        </w:tc>
      </w:tr>
      <w:tr w:rsidR="000D1D20" w14:paraId="4B208797" w14:textId="77777777" w:rsidTr="001355DB">
        <w:tc>
          <w:tcPr>
            <w:tcW w:w="0" w:type="auto"/>
          </w:tcPr>
          <w:p w14:paraId="62111EC7" w14:textId="77777777" w:rsidR="000D1D20" w:rsidRDefault="000D1D20" w:rsidP="001355DB">
            <w:pPr>
              <w:pStyle w:val="TableText"/>
            </w:pPr>
            <w:r>
              <w:lastRenderedPageBreak/>
              <w:t>INVESTIGATION 2</w:t>
            </w:r>
          </w:p>
          <w:p w14:paraId="45D6974E" w14:textId="77777777" w:rsidR="000D1D20" w:rsidRPr="00E43EB2" w:rsidRDefault="000D1D20" w:rsidP="001355DB">
            <w:pPr>
              <w:pStyle w:val="TableText"/>
              <w:rPr>
                <w:b/>
                <w:bCs/>
                <w:highlight w:val="yellow"/>
              </w:rPr>
            </w:pPr>
            <w:r>
              <w:t>Sand Source Feasibility Study</w:t>
            </w:r>
          </w:p>
        </w:tc>
        <w:tc>
          <w:tcPr>
            <w:tcW w:w="0" w:type="auto"/>
          </w:tcPr>
          <w:p w14:paraId="54775690" w14:textId="77777777" w:rsidR="000D1D20" w:rsidRDefault="000D1D20" w:rsidP="000631FB">
            <w:pPr>
              <w:pStyle w:val="ListBullet0"/>
              <w:numPr>
                <w:ilvl w:val="0"/>
                <w:numId w:val="58"/>
              </w:numPr>
              <w:spacing w:beforeLines="40" w:before="96" w:afterLines="40" w:after="96" w:line="240" w:lineRule="auto"/>
            </w:pPr>
            <w:r>
              <w:t xml:space="preserve">Determine the capacity and cost of local sand supplies, including both land-based and marine sources. Undertake early stakeholder engagement and consider approvals required. </w:t>
            </w:r>
          </w:p>
          <w:p w14:paraId="0140BA3E" w14:textId="77777777" w:rsidR="000D1D20" w:rsidRDefault="000D1D20" w:rsidP="000631FB">
            <w:pPr>
              <w:pStyle w:val="ListBullet0"/>
              <w:numPr>
                <w:ilvl w:val="0"/>
                <w:numId w:val="58"/>
              </w:numPr>
              <w:spacing w:beforeLines="40" w:before="96" w:afterLines="40" w:after="96" w:line="240" w:lineRule="auto"/>
            </w:pPr>
            <w:r>
              <w:t>Likely require repetition over Medium-term</w:t>
            </w:r>
          </w:p>
          <w:p w14:paraId="2B358D87" w14:textId="77777777" w:rsidR="000D1D20" w:rsidRPr="002B7F14" w:rsidRDefault="000D1D20" w:rsidP="000631FB">
            <w:pPr>
              <w:pStyle w:val="ListBullet0"/>
              <w:numPr>
                <w:ilvl w:val="0"/>
                <w:numId w:val="58"/>
              </w:numPr>
              <w:spacing w:beforeLines="40" w:before="96" w:afterLines="40" w:after="96" w:line="240" w:lineRule="auto"/>
            </w:pPr>
            <w:r>
              <w:t>Focus is sand for beach nourishment and appropriate material for levee construction and potentially to raise height of land in inundation hazard zones</w:t>
            </w:r>
          </w:p>
        </w:tc>
        <w:tc>
          <w:tcPr>
            <w:tcW w:w="0" w:type="auto"/>
          </w:tcPr>
          <w:p w14:paraId="408345F1" w14:textId="77777777" w:rsidR="000D1D20" w:rsidRDefault="000D1D20" w:rsidP="001355DB">
            <w:pPr>
              <w:pStyle w:val="ListBullet0"/>
              <w:spacing w:beforeLines="40" w:before="96" w:afterLines="40" w:after="96" w:line="240" w:lineRule="auto"/>
            </w:pPr>
            <w:r>
              <w:t>LGA</w:t>
            </w:r>
          </w:p>
          <w:p w14:paraId="071F01FD" w14:textId="77777777" w:rsidR="000D1D20" w:rsidRDefault="000D1D20" w:rsidP="001355DB">
            <w:pPr>
              <w:pStyle w:val="ListBullet0"/>
              <w:spacing w:beforeLines="40" w:before="96" w:afterLines="40" w:after="96" w:line="240" w:lineRule="auto"/>
            </w:pPr>
            <w:r>
              <w:t>Can seek support from Southern Ports and state departments</w:t>
            </w:r>
          </w:p>
        </w:tc>
        <w:tc>
          <w:tcPr>
            <w:tcW w:w="0" w:type="auto"/>
          </w:tcPr>
          <w:p w14:paraId="4B9BF105" w14:textId="77777777" w:rsidR="000D1D20" w:rsidRDefault="000D1D20" w:rsidP="001355DB">
            <w:pPr>
              <w:pStyle w:val="ListBullet0"/>
              <w:spacing w:beforeLines="40" w:before="96" w:afterLines="40" w:after="96" w:line="240" w:lineRule="auto"/>
            </w:pPr>
            <w:r>
              <w:t>Completed CHRMAP</w:t>
            </w:r>
          </w:p>
        </w:tc>
        <w:tc>
          <w:tcPr>
            <w:tcW w:w="0" w:type="auto"/>
          </w:tcPr>
          <w:p w14:paraId="387A29CE" w14:textId="77777777" w:rsidR="000D1D20" w:rsidRDefault="000D1D20" w:rsidP="001355DB">
            <w:pPr>
              <w:pStyle w:val="ListBullet0"/>
              <w:spacing w:beforeLines="40" w:before="96" w:afterLines="40" w:after="96" w:line="240" w:lineRule="auto"/>
              <w:jc w:val="left"/>
            </w:pPr>
            <w:r>
              <w:t>$150,000</w:t>
            </w:r>
          </w:p>
          <w:p w14:paraId="41A28746" w14:textId="77777777" w:rsidR="000D1D20" w:rsidRPr="000435BB" w:rsidRDefault="000D1D20" w:rsidP="001355DB">
            <w:pPr>
              <w:pStyle w:val="ListBullet0"/>
              <w:spacing w:beforeLines="40" w:before="96" w:afterLines="40" w:after="96" w:line="240" w:lineRule="auto"/>
              <w:jc w:val="left"/>
            </w:pPr>
            <w:r>
              <w:t>Assumes undertaken for all MUs.</w:t>
            </w:r>
          </w:p>
        </w:tc>
        <w:tc>
          <w:tcPr>
            <w:tcW w:w="1736" w:type="dxa"/>
          </w:tcPr>
          <w:p w14:paraId="132C4E31" w14:textId="77777777" w:rsidR="000D1D20" w:rsidRDefault="000D1D20" w:rsidP="001355DB">
            <w:pPr>
              <w:pStyle w:val="ListBullet0"/>
              <w:spacing w:beforeLines="40" w:before="96" w:afterLines="40" w:after="96" w:line="240" w:lineRule="auto"/>
            </w:pPr>
            <w:r>
              <w:t>Operational</w:t>
            </w:r>
          </w:p>
          <w:p w14:paraId="25C06566" w14:textId="77777777" w:rsidR="000D1D20" w:rsidRDefault="000D1D20" w:rsidP="001355DB">
            <w:pPr>
              <w:pStyle w:val="ListBullet0"/>
              <w:spacing w:beforeLines="40" w:before="96" w:afterLines="40" w:after="96" w:line="240" w:lineRule="auto"/>
            </w:pPr>
            <w:r>
              <w:t>Grants (e.g. CAP)</w:t>
            </w:r>
          </w:p>
        </w:tc>
        <w:tc>
          <w:tcPr>
            <w:tcW w:w="728" w:type="dxa"/>
          </w:tcPr>
          <w:p w14:paraId="60FECB5A" w14:textId="77777777" w:rsidR="000D1D20" w:rsidRDefault="000D1D20" w:rsidP="001355DB">
            <w:pPr>
              <w:pStyle w:val="TableText"/>
            </w:pPr>
          </w:p>
        </w:tc>
        <w:tc>
          <w:tcPr>
            <w:tcW w:w="0" w:type="auto"/>
          </w:tcPr>
          <w:p w14:paraId="29CC189C" w14:textId="77777777" w:rsidR="000D1D20" w:rsidRDefault="000D1D20" w:rsidP="001355DB">
            <w:pPr>
              <w:pStyle w:val="TableText"/>
            </w:pPr>
          </w:p>
        </w:tc>
        <w:tc>
          <w:tcPr>
            <w:tcW w:w="0" w:type="auto"/>
          </w:tcPr>
          <w:p w14:paraId="15D8D524" w14:textId="77777777" w:rsidR="000D1D20" w:rsidRDefault="000D1D20" w:rsidP="001355DB">
            <w:pPr>
              <w:pStyle w:val="TableText"/>
            </w:pPr>
            <w:r>
              <w:t>x</w:t>
            </w:r>
          </w:p>
        </w:tc>
        <w:tc>
          <w:tcPr>
            <w:tcW w:w="0" w:type="auto"/>
          </w:tcPr>
          <w:p w14:paraId="3A758FF5" w14:textId="77777777" w:rsidR="000D1D20" w:rsidRDefault="000D1D20" w:rsidP="001355DB">
            <w:pPr>
              <w:pStyle w:val="TableText"/>
            </w:pPr>
          </w:p>
        </w:tc>
      </w:tr>
      <w:tr w:rsidR="000D1D20" w14:paraId="4CD8777B" w14:textId="77777777" w:rsidTr="001355DB">
        <w:tc>
          <w:tcPr>
            <w:tcW w:w="0" w:type="auto"/>
          </w:tcPr>
          <w:p w14:paraId="39FE80AD" w14:textId="77777777" w:rsidR="000D1D20" w:rsidRDefault="000D1D20" w:rsidP="001355DB">
            <w:pPr>
              <w:pStyle w:val="TableText"/>
            </w:pPr>
            <w:r w:rsidRPr="009B3BA2">
              <w:rPr>
                <w:b/>
                <w:bCs/>
              </w:rPr>
              <w:t xml:space="preserve">Recommended Short-Term Option to address Erosion Protection with </w:t>
            </w:r>
            <w:r>
              <w:rPr>
                <w:b/>
                <w:bCs/>
              </w:rPr>
              <w:t xml:space="preserve">existing Seawalls </w:t>
            </w:r>
            <w:r w:rsidRPr="009B3BA2">
              <w:rPr>
                <w:b/>
                <w:bCs/>
              </w:rPr>
              <w:t>(PR</w:t>
            </w:r>
            <w:r>
              <w:rPr>
                <w:b/>
                <w:bCs/>
              </w:rPr>
              <w:t>3</w:t>
            </w:r>
            <w:r w:rsidRPr="009B3BA2">
              <w:rPr>
                <w:b/>
                <w:bCs/>
              </w:rPr>
              <w:t>)</w:t>
            </w:r>
          </w:p>
        </w:tc>
        <w:tc>
          <w:tcPr>
            <w:tcW w:w="0" w:type="auto"/>
          </w:tcPr>
          <w:p w14:paraId="739B37FF" w14:textId="77777777" w:rsidR="000D1D20" w:rsidRDefault="000D1D20" w:rsidP="00FF5CBF">
            <w:pPr>
              <w:pStyle w:val="ListBullet0"/>
              <w:numPr>
                <w:ilvl w:val="0"/>
                <w:numId w:val="58"/>
              </w:numPr>
              <w:spacing w:beforeLines="40" w:before="96" w:afterLines="40" w:after="96" w:line="240" w:lineRule="auto"/>
            </w:pPr>
            <w:r>
              <w:t>Protection is currently provided by various structures which while maintained are likely to continue to provide adequate protection.</w:t>
            </w:r>
          </w:p>
        </w:tc>
        <w:tc>
          <w:tcPr>
            <w:tcW w:w="0" w:type="auto"/>
          </w:tcPr>
          <w:p w14:paraId="24C038F6" w14:textId="77777777" w:rsidR="000D1D20" w:rsidRDefault="000D1D20" w:rsidP="00FF5CBF">
            <w:pPr>
              <w:pStyle w:val="ListBullet0"/>
              <w:numPr>
                <w:ilvl w:val="0"/>
                <w:numId w:val="58"/>
              </w:numPr>
              <w:spacing w:beforeLines="40" w:before="96" w:afterLines="40" w:after="96" w:line="240" w:lineRule="auto"/>
            </w:pPr>
            <w:r>
              <w:t>LGA</w:t>
            </w:r>
          </w:p>
          <w:p w14:paraId="7D55EAA3" w14:textId="77777777" w:rsidR="000D1D20" w:rsidRDefault="000D1D20" w:rsidP="00FF5CBF">
            <w:pPr>
              <w:pStyle w:val="ListBullet0"/>
              <w:numPr>
                <w:ilvl w:val="0"/>
                <w:numId w:val="58"/>
              </w:numPr>
              <w:spacing w:beforeLines="40" w:before="96" w:afterLines="40" w:after="96" w:line="240" w:lineRule="auto"/>
            </w:pPr>
            <w:r>
              <w:t>DoT</w:t>
            </w:r>
          </w:p>
          <w:p w14:paraId="64177509" w14:textId="77777777" w:rsidR="000D1D20" w:rsidRDefault="000D1D20" w:rsidP="00FF5CBF">
            <w:pPr>
              <w:pStyle w:val="ListBullet0"/>
              <w:numPr>
                <w:ilvl w:val="0"/>
                <w:numId w:val="58"/>
              </w:numPr>
              <w:spacing w:beforeLines="40" w:before="96" w:afterLines="40" w:after="96" w:line="240" w:lineRule="auto"/>
            </w:pPr>
            <w:r>
              <w:t>Southern Ports</w:t>
            </w:r>
          </w:p>
        </w:tc>
        <w:tc>
          <w:tcPr>
            <w:tcW w:w="0" w:type="auto"/>
          </w:tcPr>
          <w:p w14:paraId="72F1C3FE" w14:textId="77777777" w:rsidR="000D1D20" w:rsidRDefault="000D1D20" w:rsidP="00FF5CBF">
            <w:pPr>
              <w:pStyle w:val="ListBullet0"/>
              <w:numPr>
                <w:ilvl w:val="0"/>
                <w:numId w:val="58"/>
              </w:numPr>
              <w:spacing w:beforeLines="40" w:before="96" w:afterLines="40" w:after="96" w:line="240" w:lineRule="auto"/>
            </w:pPr>
            <w:r>
              <w:t>Coastal Protection Structure Audit (NR2) will identify maintenance required.</w:t>
            </w:r>
          </w:p>
        </w:tc>
        <w:tc>
          <w:tcPr>
            <w:tcW w:w="0" w:type="auto"/>
          </w:tcPr>
          <w:p w14:paraId="3FF8CC6D" w14:textId="77777777" w:rsidR="000D1D20" w:rsidRDefault="000D1D20" w:rsidP="00FF5CBF">
            <w:pPr>
              <w:pStyle w:val="ListBullet0"/>
              <w:numPr>
                <w:ilvl w:val="0"/>
                <w:numId w:val="58"/>
              </w:numPr>
              <w:spacing w:beforeLines="40" w:before="96" w:afterLines="40" w:after="96" w:line="240" w:lineRule="auto"/>
              <w:jc w:val="left"/>
            </w:pPr>
            <w:r>
              <w:t xml:space="preserve">TBC following Coastal Protection Structure Audit (NR2) </w:t>
            </w:r>
          </w:p>
        </w:tc>
        <w:tc>
          <w:tcPr>
            <w:tcW w:w="1736" w:type="dxa"/>
          </w:tcPr>
          <w:p w14:paraId="46C753D4" w14:textId="77777777" w:rsidR="000D1D20" w:rsidRDefault="000D1D20" w:rsidP="001355DB">
            <w:pPr>
              <w:pStyle w:val="ListBullet0"/>
              <w:spacing w:beforeLines="40" w:before="96" w:afterLines="40" w:after="96" w:line="240" w:lineRule="auto"/>
            </w:pPr>
            <w:r>
              <w:t>Operational</w:t>
            </w:r>
          </w:p>
          <w:p w14:paraId="67E7CADF" w14:textId="77777777" w:rsidR="000D1D20" w:rsidRDefault="000D1D20" w:rsidP="001355DB">
            <w:pPr>
              <w:pStyle w:val="ListBullet0"/>
              <w:spacing w:beforeLines="40" w:before="96" w:afterLines="40" w:after="96" w:line="240" w:lineRule="auto"/>
            </w:pPr>
            <w:r>
              <w:t>Grants (e.g. CAP)</w:t>
            </w:r>
          </w:p>
        </w:tc>
        <w:tc>
          <w:tcPr>
            <w:tcW w:w="728" w:type="dxa"/>
          </w:tcPr>
          <w:p w14:paraId="425ECB91" w14:textId="77777777" w:rsidR="000D1D20" w:rsidRDefault="000D1D20" w:rsidP="001355DB">
            <w:pPr>
              <w:pStyle w:val="TableText"/>
            </w:pPr>
            <w:r>
              <w:t>x</w:t>
            </w:r>
          </w:p>
        </w:tc>
        <w:tc>
          <w:tcPr>
            <w:tcW w:w="0" w:type="auto"/>
          </w:tcPr>
          <w:p w14:paraId="49B44B7F" w14:textId="77777777" w:rsidR="000D1D20" w:rsidRDefault="000D1D20" w:rsidP="001355DB">
            <w:pPr>
              <w:pStyle w:val="TableText"/>
            </w:pPr>
            <w:r>
              <w:t>x</w:t>
            </w:r>
          </w:p>
        </w:tc>
        <w:tc>
          <w:tcPr>
            <w:tcW w:w="0" w:type="auto"/>
          </w:tcPr>
          <w:p w14:paraId="24C12E77" w14:textId="77777777" w:rsidR="000D1D20" w:rsidRDefault="000D1D20" w:rsidP="001355DB">
            <w:pPr>
              <w:pStyle w:val="TableText"/>
            </w:pPr>
            <w:r>
              <w:t>x</w:t>
            </w:r>
          </w:p>
        </w:tc>
        <w:tc>
          <w:tcPr>
            <w:tcW w:w="0" w:type="auto"/>
          </w:tcPr>
          <w:p w14:paraId="22205137" w14:textId="77777777" w:rsidR="000D1D20" w:rsidRDefault="000D1D20" w:rsidP="001355DB">
            <w:pPr>
              <w:pStyle w:val="TableText"/>
            </w:pPr>
          </w:p>
        </w:tc>
      </w:tr>
      <w:tr w:rsidR="000D1D20" w14:paraId="406436FC" w14:textId="77777777" w:rsidTr="001355DB">
        <w:tc>
          <w:tcPr>
            <w:tcW w:w="0" w:type="auto"/>
          </w:tcPr>
          <w:p w14:paraId="276C94FC" w14:textId="77777777" w:rsidR="000D1D20" w:rsidRDefault="000D1D20" w:rsidP="001355DB">
            <w:pPr>
              <w:pStyle w:val="TableText"/>
            </w:pPr>
            <w:r w:rsidRPr="009B3BA2">
              <w:rPr>
                <w:b/>
                <w:bCs/>
              </w:rPr>
              <w:t xml:space="preserve">Recommended Short-Term Option to address Inundation is </w:t>
            </w:r>
            <w:r w:rsidRPr="005B094D">
              <w:rPr>
                <w:b/>
                <w:bCs/>
              </w:rPr>
              <w:t>Monitoring (NR1)</w:t>
            </w:r>
            <w:r>
              <w:rPr>
                <w:b/>
                <w:bCs/>
              </w:rPr>
              <w:t xml:space="preserve">, </w:t>
            </w:r>
            <w:r w:rsidRPr="005B094D">
              <w:rPr>
                <w:b/>
                <w:bCs/>
              </w:rPr>
              <w:t>Accommodate (AC1) and Emergency Evacuation Plans (NR4)</w:t>
            </w:r>
          </w:p>
        </w:tc>
        <w:tc>
          <w:tcPr>
            <w:tcW w:w="0" w:type="auto"/>
          </w:tcPr>
          <w:p w14:paraId="0B9C3F39" w14:textId="77777777" w:rsidR="000D1D20" w:rsidRDefault="000D1D20" w:rsidP="00FF5CBF">
            <w:pPr>
              <w:pStyle w:val="ListBullet0"/>
              <w:numPr>
                <w:ilvl w:val="0"/>
                <w:numId w:val="58"/>
              </w:numPr>
              <w:spacing w:beforeLines="40" w:before="96" w:afterLines="40" w:after="96" w:line="240" w:lineRule="auto"/>
            </w:pPr>
            <w:r>
              <w:t>There is no projected impact from inundation during the short-term for this MU.</w:t>
            </w:r>
          </w:p>
          <w:p w14:paraId="04321F9D" w14:textId="34675971" w:rsidR="000D1D20" w:rsidRDefault="000D1D20" w:rsidP="00FF5CBF">
            <w:pPr>
              <w:pStyle w:val="ListBullet0"/>
              <w:numPr>
                <w:ilvl w:val="0"/>
                <w:numId w:val="58"/>
              </w:numPr>
              <w:spacing w:beforeLines="40" w:before="96" w:afterLines="40" w:after="96" w:line="240" w:lineRule="auto"/>
            </w:pPr>
            <w:r>
              <w:t>Implementation shall focus on Monitoring (NR1</w:t>
            </w:r>
            <w:r w:rsidR="00345509">
              <w:t>) and</w:t>
            </w:r>
            <w:r>
              <w:t xml:space="preserve"> should an unexpected inundation event occur it can be managed via Accommodate (AC1) and Emergency Evacuation Plans (NR4).</w:t>
            </w:r>
          </w:p>
        </w:tc>
        <w:tc>
          <w:tcPr>
            <w:tcW w:w="0" w:type="auto"/>
          </w:tcPr>
          <w:p w14:paraId="11F37C77" w14:textId="77777777" w:rsidR="000D1D20" w:rsidRDefault="000D1D20" w:rsidP="00FF5CBF">
            <w:pPr>
              <w:pStyle w:val="ListBullet0"/>
              <w:numPr>
                <w:ilvl w:val="0"/>
                <w:numId w:val="58"/>
              </w:numPr>
              <w:spacing w:beforeLines="40" w:before="96" w:afterLines="40" w:after="96" w:line="240" w:lineRule="auto"/>
            </w:pPr>
            <w:r>
              <w:t>LGA</w:t>
            </w:r>
          </w:p>
        </w:tc>
        <w:tc>
          <w:tcPr>
            <w:tcW w:w="0" w:type="auto"/>
          </w:tcPr>
          <w:p w14:paraId="44FA9E13" w14:textId="77777777" w:rsidR="000D1D20" w:rsidRDefault="000D1D20" w:rsidP="00FF5CBF">
            <w:pPr>
              <w:pStyle w:val="ListBullet0"/>
              <w:numPr>
                <w:ilvl w:val="0"/>
                <w:numId w:val="58"/>
              </w:numPr>
              <w:spacing w:beforeLines="40" w:before="96" w:afterLines="40" w:after="96" w:line="240" w:lineRule="auto"/>
            </w:pPr>
            <w:r>
              <w:t>Monitoring</w:t>
            </w:r>
          </w:p>
          <w:p w14:paraId="5D8F0542" w14:textId="77777777" w:rsidR="000D1D20" w:rsidRDefault="000D1D20" w:rsidP="00FF5CBF">
            <w:pPr>
              <w:pStyle w:val="ListBullet0"/>
              <w:numPr>
                <w:ilvl w:val="0"/>
                <w:numId w:val="58"/>
              </w:numPr>
              <w:spacing w:beforeLines="40" w:before="96" w:afterLines="40" w:after="96" w:line="240" w:lineRule="auto"/>
            </w:pPr>
            <w:r>
              <w:t>Updated CHRMAP</w:t>
            </w:r>
          </w:p>
        </w:tc>
        <w:tc>
          <w:tcPr>
            <w:tcW w:w="0" w:type="auto"/>
          </w:tcPr>
          <w:p w14:paraId="52C9A452" w14:textId="77777777" w:rsidR="000D1D20" w:rsidRDefault="000D1D20" w:rsidP="00FF5CBF">
            <w:pPr>
              <w:pStyle w:val="ListBullet0"/>
              <w:numPr>
                <w:ilvl w:val="0"/>
                <w:numId w:val="58"/>
              </w:numPr>
              <w:spacing w:beforeLines="40" w:before="96" w:afterLines="40" w:after="96" w:line="240" w:lineRule="auto"/>
              <w:jc w:val="left"/>
            </w:pPr>
            <w:r>
              <w:t>See other recommended actions for their costs.</w:t>
            </w:r>
          </w:p>
        </w:tc>
        <w:tc>
          <w:tcPr>
            <w:tcW w:w="1736" w:type="dxa"/>
          </w:tcPr>
          <w:p w14:paraId="1CB1B47C" w14:textId="77777777" w:rsidR="000D1D20" w:rsidRDefault="000D1D20" w:rsidP="001355DB">
            <w:pPr>
              <w:pStyle w:val="ListBullet0"/>
              <w:spacing w:beforeLines="40" w:before="96" w:afterLines="40" w:after="96" w:line="240" w:lineRule="auto"/>
            </w:pPr>
            <w:r>
              <w:t>N/A</w:t>
            </w:r>
          </w:p>
        </w:tc>
        <w:tc>
          <w:tcPr>
            <w:tcW w:w="728" w:type="dxa"/>
          </w:tcPr>
          <w:p w14:paraId="6865B297" w14:textId="77777777" w:rsidR="000D1D20" w:rsidRDefault="000D1D20" w:rsidP="001355DB">
            <w:pPr>
              <w:pStyle w:val="TableText"/>
            </w:pPr>
            <w:r>
              <w:t>x</w:t>
            </w:r>
          </w:p>
        </w:tc>
        <w:tc>
          <w:tcPr>
            <w:tcW w:w="0" w:type="auto"/>
          </w:tcPr>
          <w:p w14:paraId="208137E1" w14:textId="77777777" w:rsidR="000D1D20" w:rsidRDefault="000D1D20" w:rsidP="001355DB">
            <w:pPr>
              <w:pStyle w:val="TableText"/>
            </w:pPr>
            <w:r>
              <w:t>x</w:t>
            </w:r>
          </w:p>
        </w:tc>
        <w:tc>
          <w:tcPr>
            <w:tcW w:w="0" w:type="auto"/>
          </w:tcPr>
          <w:p w14:paraId="1849713B" w14:textId="77777777" w:rsidR="000D1D20" w:rsidRDefault="000D1D20" w:rsidP="001355DB">
            <w:pPr>
              <w:pStyle w:val="TableText"/>
            </w:pPr>
            <w:r>
              <w:t>x</w:t>
            </w:r>
          </w:p>
        </w:tc>
        <w:tc>
          <w:tcPr>
            <w:tcW w:w="0" w:type="auto"/>
          </w:tcPr>
          <w:p w14:paraId="5489AAA4" w14:textId="77777777" w:rsidR="000D1D20" w:rsidRDefault="000D1D20" w:rsidP="001355DB">
            <w:pPr>
              <w:pStyle w:val="TableText"/>
            </w:pPr>
          </w:p>
        </w:tc>
      </w:tr>
      <w:tr w:rsidR="000D1D20" w14:paraId="0A600FBD" w14:textId="77777777" w:rsidTr="001355DB">
        <w:tc>
          <w:tcPr>
            <w:tcW w:w="0" w:type="auto"/>
          </w:tcPr>
          <w:p w14:paraId="5F9E407B" w14:textId="77777777" w:rsidR="000D1D20" w:rsidRPr="00057EE8" w:rsidRDefault="000D1D20" w:rsidP="001355DB">
            <w:pPr>
              <w:pStyle w:val="TableText"/>
            </w:pPr>
            <w:r w:rsidRPr="00057EE8">
              <w:rPr>
                <w:b/>
                <w:bCs/>
              </w:rPr>
              <w:t>Recommended Medium and Long-term pathway to address Erosion is Protection with Beach Nourishment (PR1)</w:t>
            </w:r>
          </w:p>
        </w:tc>
        <w:tc>
          <w:tcPr>
            <w:tcW w:w="0" w:type="auto"/>
          </w:tcPr>
          <w:p w14:paraId="551C8DD7" w14:textId="77777777" w:rsidR="000D1D20" w:rsidRDefault="000D1D20" w:rsidP="00FF5CBF">
            <w:pPr>
              <w:pStyle w:val="ListBullet0"/>
              <w:numPr>
                <w:ilvl w:val="0"/>
                <w:numId w:val="58"/>
              </w:numPr>
            </w:pPr>
            <w:r>
              <w:t xml:space="preserve">Assumes </w:t>
            </w:r>
            <w:bookmarkStart w:id="337" w:name="_Hlk145677103"/>
            <w:r>
              <w:t>suitable sand source available (grain size, volume, cleanliness, proximity)</w:t>
            </w:r>
            <w:bookmarkEnd w:id="337"/>
          </w:p>
          <w:p w14:paraId="437A652B" w14:textId="77777777" w:rsidR="000D1D20" w:rsidRDefault="000D1D20" w:rsidP="00FF5CBF">
            <w:pPr>
              <w:pStyle w:val="ListBullet0"/>
              <w:numPr>
                <w:ilvl w:val="0"/>
                <w:numId w:val="58"/>
              </w:numPr>
            </w:pPr>
            <w:r w:rsidRPr="000C5809">
              <w:t>Assumes treatment of 1000m of shoreline west of Albany Waterfront Marina</w:t>
            </w:r>
            <w:r>
              <w:t>.</w:t>
            </w:r>
          </w:p>
          <w:p w14:paraId="49880A52" w14:textId="77777777" w:rsidR="000D1D20" w:rsidRDefault="000D1D20" w:rsidP="00FF5CBF">
            <w:pPr>
              <w:pStyle w:val="ListBullet0"/>
              <w:numPr>
                <w:ilvl w:val="0"/>
                <w:numId w:val="58"/>
              </w:numPr>
            </w:pPr>
            <w:r>
              <w:t>2072 implementation is allowed for following the forecast end of the useful life of the Princess Royal Drive revetment, so there are no priority actions to implement this pathway in the short-term</w:t>
            </w:r>
          </w:p>
        </w:tc>
        <w:tc>
          <w:tcPr>
            <w:tcW w:w="0" w:type="auto"/>
          </w:tcPr>
          <w:p w14:paraId="0300D49E" w14:textId="77777777" w:rsidR="000D1D20" w:rsidRDefault="000D1D20" w:rsidP="00FF5CBF">
            <w:pPr>
              <w:pStyle w:val="ListBullet0"/>
              <w:numPr>
                <w:ilvl w:val="0"/>
                <w:numId w:val="58"/>
              </w:numPr>
              <w:spacing w:beforeLines="40" w:before="96" w:afterLines="40" w:after="96" w:line="240" w:lineRule="auto"/>
            </w:pPr>
            <w:r>
              <w:t>LGA</w:t>
            </w:r>
          </w:p>
        </w:tc>
        <w:tc>
          <w:tcPr>
            <w:tcW w:w="0" w:type="auto"/>
          </w:tcPr>
          <w:p w14:paraId="51E9694B" w14:textId="77777777" w:rsidR="000D1D20" w:rsidRDefault="000D1D20" w:rsidP="00FF5CBF">
            <w:pPr>
              <w:pStyle w:val="ListBullet0"/>
              <w:numPr>
                <w:ilvl w:val="0"/>
                <w:numId w:val="58"/>
              </w:numPr>
              <w:spacing w:beforeLines="40" w:before="96" w:afterLines="40" w:after="96" w:line="240" w:lineRule="auto"/>
            </w:pPr>
            <w:r>
              <w:t>Monitoring</w:t>
            </w:r>
          </w:p>
          <w:p w14:paraId="02794F6C" w14:textId="77777777" w:rsidR="000D1D20" w:rsidRDefault="000D1D20" w:rsidP="00FF5CBF">
            <w:pPr>
              <w:pStyle w:val="ListBullet0"/>
              <w:numPr>
                <w:ilvl w:val="0"/>
                <w:numId w:val="58"/>
              </w:numPr>
              <w:spacing w:beforeLines="40" w:before="96" w:afterLines="40" w:after="96" w:line="240" w:lineRule="auto"/>
            </w:pPr>
            <w:r>
              <w:t>Updated CHRMAP</w:t>
            </w:r>
          </w:p>
        </w:tc>
        <w:tc>
          <w:tcPr>
            <w:tcW w:w="0" w:type="auto"/>
          </w:tcPr>
          <w:p w14:paraId="02E89F4E" w14:textId="77777777" w:rsidR="000D1D20" w:rsidRDefault="000D1D20" w:rsidP="00FF5CBF">
            <w:pPr>
              <w:pStyle w:val="ListBullet0"/>
              <w:numPr>
                <w:ilvl w:val="0"/>
                <w:numId w:val="58"/>
              </w:numPr>
              <w:spacing w:beforeLines="40" w:before="96" w:afterLines="40" w:after="96" w:line="240" w:lineRule="auto"/>
              <w:jc w:val="left"/>
            </w:pPr>
            <w:r>
              <w:t>Approximate capital cost of $0.5M at NPV 4%</w:t>
            </w:r>
          </w:p>
          <w:p w14:paraId="3134283D" w14:textId="77777777" w:rsidR="000D1D20" w:rsidRDefault="000D1D20" w:rsidP="00FF5CBF">
            <w:pPr>
              <w:pStyle w:val="ListBullet0"/>
              <w:numPr>
                <w:ilvl w:val="0"/>
                <w:numId w:val="58"/>
              </w:numPr>
              <w:spacing w:beforeLines="40" w:before="96" w:afterLines="40" w:after="96" w:line="240" w:lineRule="auto"/>
              <w:jc w:val="left"/>
            </w:pPr>
            <w:r>
              <w:t>Annual maintenance estimate of approximately $0.2M</w:t>
            </w:r>
          </w:p>
        </w:tc>
        <w:tc>
          <w:tcPr>
            <w:tcW w:w="1736" w:type="dxa"/>
          </w:tcPr>
          <w:p w14:paraId="38F87FC7" w14:textId="77777777" w:rsidR="000D1D20" w:rsidRDefault="000D1D20" w:rsidP="001355DB">
            <w:pPr>
              <w:pStyle w:val="ListBullet0"/>
              <w:spacing w:beforeLines="40" w:before="96" w:afterLines="40" w:after="96" w:line="240" w:lineRule="auto"/>
            </w:pPr>
            <w:r>
              <w:t>Operational</w:t>
            </w:r>
          </w:p>
          <w:p w14:paraId="304ABC67" w14:textId="77777777" w:rsidR="000D1D20" w:rsidRDefault="000D1D20" w:rsidP="001355DB">
            <w:pPr>
              <w:pStyle w:val="ListBullet0"/>
              <w:spacing w:beforeLines="40" w:before="96" w:afterLines="40" w:after="96" w:line="240" w:lineRule="auto"/>
            </w:pPr>
            <w:r>
              <w:t>Grants (e.g. CAP)</w:t>
            </w:r>
          </w:p>
          <w:p w14:paraId="3E2A7D5B" w14:textId="77777777" w:rsidR="000D1D20" w:rsidRDefault="000D1D20" w:rsidP="001355DB">
            <w:pPr>
              <w:pStyle w:val="ListBullet0"/>
              <w:spacing w:beforeLines="40" w:before="96" w:afterLines="40" w:after="96" w:line="240" w:lineRule="auto"/>
            </w:pPr>
            <w:r>
              <w:t>Direct beneficiaries</w:t>
            </w:r>
          </w:p>
        </w:tc>
        <w:tc>
          <w:tcPr>
            <w:tcW w:w="728" w:type="dxa"/>
          </w:tcPr>
          <w:p w14:paraId="7F17DFE6" w14:textId="77777777" w:rsidR="000D1D20" w:rsidRDefault="000D1D20" w:rsidP="001355DB">
            <w:pPr>
              <w:pStyle w:val="TableText"/>
            </w:pPr>
          </w:p>
        </w:tc>
        <w:tc>
          <w:tcPr>
            <w:tcW w:w="0" w:type="auto"/>
          </w:tcPr>
          <w:p w14:paraId="51F58492" w14:textId="77777777" w:rsidR="000D1D20" w:rsidRDefault="000D1D20" w:rsidP="001355DB">
            <w:pPr>
              <w:pStyle w:val="TableText"/>
            </w:pPr>
          </w:p>
        </w:tc>
        <w:tc>
          <w:tcPr>
            <w:tcW w:w="0" w:type="auto"/>
          </w:tcPr>
          <w:p w14:paraId="52EBC55B" w14:textId="77777777" w:rsidR="000D1D20" w:rsidRDefault="000D1D20" w:rsidP="001355DB">
            <w:pPr>
              <w:pStyle w:val="TableText"/>
            </w:pPr>
          </w:p>
        </w:tc>
        <w:tc>
          <w:tcPr>
            <w:tcW w:w="0" w:type="auto"/>
          </w:tcPr>
          <w:p w14:paraId="39FF189D" w14:textId="77777777" w:rsidR="000D1D20" w:rsidRDefault="000D1D20" w:rsidP="001355DB">
            <w:pPr>
              <w:pStyle w:val="TableText"/>
            </w:pPr>
            <w:r>
              <w:t>x</w:t>
            </w:r>
          </w:p>
        </w:tc>
      </w:tr>
      <w:tr w:rsidR="000D1D20" w14:paraId="758CA912" w14:textId="77777777" w:rsidTr="001355DB">
        <w:tc>
          <w:tcPr>
            <w:tcW w:w="0" w:type="auto"/>
          </w:tcPr>
          <w:p w14:paraId="22486AD4" w14:textId="77777777" w:rsidR="000D1D20" w:rsidRPr="00057EE8" w:rsidRDefault="000D1D20" w:rsidP="001355DB">
            <w:pPr>
              <w:pStyle w:val="TableText"/>
            </w:pPr>
            <w:r w:rsidRPr="00057EE8">
              <w:rPr>
                <w:b/>
                <w:bCs/>
              </w:rPr>
              <w:t>Recommended Medium and Long-term pathway to address Inundation is Accommodate (AC1)</w:t>
            </w:r>
          </w:p>
        </w:tc>
        <w:tc>
          <w:tcPr>
            <w:tcW w:w="0" w:type="auto"/>
          </w:tcPr>
          <w:p w14:paraId="4F36FE16" w14:textId="77777777" w:rsidR="000D1D20" w:rsidRPr="00057EE8" w:rsidRDefault="000D1D20" w:rsidP="00FF5CBF">
            <w:pPr>
              <w:pStyle w:val="ListBullet0"/>
              <w:numPr>
                <w:ilvl w:val="0"/>
                <w:numId w:val="58"/>
              </w:numPr>
              <w:spacing w:beforeLines="40" w:before="96" w:afterLines="40" w:after="96" w:line="240" w:lineRule="auto"/>
              <w:rPr>
                <w:b/>
                <w:bCs/>
              </w:rPr>
            </w:pPr>
            <w:r w:rsidRPr="1875F9F2">
              <w:rPr>
                <w:b/>
                <w:bCs/>
              </w:rPr>
              <w:t>See AC1</w:t>
            </w:r>
          </w:p>
          <w:p w14:paraId="0BBE7F3E" w14:textId="77777777" w:rsidR="000D1D20" w:rsidRDefault="000D1D20" w:rsidP="00FF5CBF">
            <w:pPr>
              <w:pStyle w:val="ListBullet0"/>
              <w:numPr>
                <w:ilvl w:val="0"/>
                <w:numId w:val="58"/>
              </w:numPr>
              <w:spacing w:beforeLines="40" w:before="96" w:afterLines="40" w:after="96" w:line="240" w:lineRule="auto"/>
            </w:pPr>
            <w:r>
              <w:t>Future consideration of erosion protections options should consider their influence on, and capacity to provide protection from, inundation.</w:t>
            </w:r>
          </w:p>
        </w:tc>
        <w:tc>
          <w:tcPr>
            <w:tcW w:w="0" w:type="auto"/>
          </w:tcPr>
          <w:p w14:paraId="26241A8F" w14:textId="77777777" w:rsidR="000D1D20" w:rsidRDefault="000D1D20" w:rsidP="00FF5CBF">
            <w:pPr>
              <w:pStyle w:val="ListBullet0"/>
              <w:numPr>
                <w:ilvl w:val="0"/>
                <w:numId w:val="58"/>
              </w:numPr>
              <w:spacing w:beforeLines="40" w:before="96" w:afterLines="40" w:after="96" w:line="240" w:lineRule="auto"/>
            </w:pPr>
            <w:r>
              <w:t>LGA</w:t>
            </w:r>
          </w:p>
        </w:tc>
        <w:tc>
          <w:tcPr>
            <w:tcW w:w="0" w:type="auto"/>
          </w:tcPr>
          <w:p w14:paraId="521B99CB" w14:textId="77777777" w:rsidR="000D1D20" w:rsidRDefault="000D1D20" w:rsidP="00FF5CBF">
            <w:pPr>
              <w:pStyle w:val="ListBullet0"/>
              <w:numPr>
                <w:ilvl w:val="0"/>
                <w:numId w:val="58"/>
              </w:numPr>
              <w:spacing w:beforeLines="40" w:before="96" w:afterLines="40" w:after="96" w:line="240" w:lineRule="auto"/>
            </w:pPr>
            <w:r>
              <w:t>Monitoring</w:t>
            </w:r>
          </w:p>
          <w:p w14:paraId="07E7E348" w14:textId="77777777" w:rsidR="000D1D20" w:rsidRDefault="000D1D20" w:rsidP="00FF5CBF">
            <w:pPr>
              <w:pStyle w:val="ListBullet0"/>
              <w:numPr>
                <w:ilvl w:val="0"/>
                <w:numId w:val="58"/>
              </w:numPr>
              <w:spacing w:beforeLines="40" w:before="96" w:afterLines="40" w:after="96" w:line="240" w:lineRule="auto"/>
            </w:pPr>
            <w:r>
              <w:t>Updated CHRMAP</w:t>
            </w:r>
          </w:p>
        </w:tc>
        <w:tc>
          <w:tcPr>
            <w:tcW w:w="0" w:type="auto"/>
          </w:tcPr>
          <w:p w14:paraId="3311E5F7" w14:textId="17D1968D" w:rsidR="000D1D20" w:rsidRPr="0018676B" w:rsidRDefault="000D1D20" w:rsidP="001355DB">
            <w:pPr>
              <w:pStyle w:val="ListBullet0"/>
              <w:numPr>
                <w:ilvl w:val="0"/>
                <w:numId w:val="58"/>
              </w:numPr>
              <w:spacing w:beforeLines="40" w:before="96" w:afterLines="40" w:after="96" w:line="240" w:lineRule="auto"/>
              <w:jc w:val="left"/>
              <w:rPr>
                <w:b/>
                <w:bCs/>
              </w:rPr>
            </w:pPr>
            <w:r w:rsidRPr="1875F9F2">
              <w:rPr>
                <w:b/>
                <w:bCs/>
              </w:rPr>
              <w:t>See AC1</w:t>
            </w:r>
          </w:p>
        </w:tc>
        <w:tc>
          <w:tcPr>
            <w:tcW w:w="1736" w:type="dxa"/>
          </w:tcPr>
          <w:p w14:paraId="50B0080D" w14:textId="77777777" w:rsidR="000D1D20" w:rsidRDefault="000D1D20" w:rsidP="001355DB">
            <w:pPr>
              <w:pStyle w:val="ListBullet0"/>
              <w:spacing w:beforeLines="40" w:before="96" w:afterLines="40" w:after="96" w:line="240" w:lineRule="auto"/>
            </w:pPr>
            <w:r>
              <w:t>Operational</w:t>
            </w:r>
          </w:p>
          <w:p w14:paraId="0C31B3F7" w14:textId="77777777" w:rsidR="000D1D20" w:rsidRDefault="000D1D20" w:rsidP="001355DB">
            <w:pPr>
              <w:pStyle w:val="ListBullet0"/>
              <w:spacing w:beforeLines="40" w:before="96" w:afterLines="40" w:after="96" w:line="240" w:lineRule="auto"/>
            </w:pPr>
            <w:r>
              <w:t>Grants</w:t>
            </w:r>
          </w:p>
          <w:p w14:paraId="69D1CB04" w14:textId="77777777" w:rsidR="000D1D20" w:rsidRDefault="000D1D20" w:rsidP="001355DB">
            <w:pPr>
              <w:pStyle w:val="ListBullet0"/>
              <w:spacing w:beforeLines="40" w:before="96" w:afterLines="40" w:after="96" w:line="240" w:lineRule="auto"/>
            </w:pPr>
            <w:r>
              <w:t>Direct beneficiaries</w:t>
            </w:r>
          </w:p>
        </w:tc>
        <w:tc>
          <w:tcPr>
            <w:tcW w:w="728" w:type="dxa"/>
          </w:tcPr>
          <w:p w14:paraId="306652D0" w14:textId="77777777" w:rsidR="000D1D20" w:rsidRDefault="000D1D20" w:rsidP="001355DB">
            <w:pPr>
              <w:pStyle w:val="TableText"/>
            </w:pPr>
          </w:p>
        </w:tc>
        <w:tc>
          <w:tcPr>
            <w:tcW w:w="0" w:type="auto"/>
          </w:tcPr>
          <w:p w14:paraId="6083C0CA" w14:textId="77777777" w:rsidR="000D1D20" w:rsidRDefault="000D1D20" w:rsidP="001355DB">
            <w:pPr>
              <w:pStyle w:val="TableText"/>
            </w:pPr>
          </w:p>
        </w:tc>
        <w:tc>
          <w:tcPr>
            <w:tcW w:w="0" w:type="auto"/>
          </w:tcPr>
          <w:p w14:paraId="3987ED4F" w14:textId="77777777" w:rsidR="000D1D20" w:rsidRDefault="000D1D20" w:rsidP="001355DB">
            <w:pPr>
              <w:pStyle w:val="TableText"/>
            </w:pPr>
          </w:p>
        </w:tc>
        <w:tc>
          <w:tcPr>
            <w:tcW w:w="0" w:type="auto"/>
          </w:tcPr>
          <w:p w14:paraId="2EA7C711" w14:textId="77777777" w:rsidR="000D1D20" w:rsidRDefault="000D1D20" w:rsidP="001355DB">
            <w:pPr>
              <w:pStyle w:val="TableText"/>
            </w:pPr>
            <w:r>
              <w:t>x</w:t>
            </w:r>
          </w:p>
        </w:tc>
      </w:tr>
    </w:tbl>
    <w:p w14:paraId="303F05D6" w14:textId="77777777" w:rsidR="000D1D20" w:rsidRDefault="000D1D20" w:rsidP="000D1D20">
      <w:pPr>
        <w:spacing w:before="80" w:after="80"/>
        <w:rPr>
          <w:b/>
          <w:color w:val="595959" w:themeColor="text1" w:themeTint="A6"/>
          <w:sz w:val="18"/>
        </w:rPr>
      </w:pPr>
      <w:r>
        <w:br w:type="page"/>
      </w:r>
    </w:p>
    <w:p w14:paraId="7CCFA49A" w14:textId="33A38523" w:rsidR="000D1D20" w:rsidRDefault="000D1D20" w:rsidP="000D1D20">
      <w:pPr>
        <w:pStyle w:val="TableCaption"/>
      </w:pPr>
      <w:bookmarkStart w:id="338" w:name="_Toc156209461"/>
      <w:bookmarkStart w:id="339" w:name="_Toc164411297"/>
      <w:r>
        <w:lastRenderedPageBreak/>
        <w:t>Table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7</w:t>
      </w:r>
      <w:r w:rsidR="008647EF">
        <w:fldChar w:fldCharType="end"/>
      </w:r>
      <w:r>
        <w:tab/>
      </w:r>
      <w:r w:rsidRPr="00181B50">
        <w:t xml:space="preserve">MU2 – </w:t>
      </w:r>
      <w:r w:rsidRPr="00D54485">
        <w:t>Melville Point to Rushy Point</w:t>
      </w:r>
      <w:r>
        <w:t xml:space="preserve"> recommendations in priority order.</w:t>
      </w:r>
      <w:bookmarkEnd w:id="338"/>
      <w:bookmarkEnd w:id="339"/>
    </w:p>
    <w:tbl>
      <w:tblPr>
        <w:tblStyle w:val="BlueTable"/>
        <w:tblW w:w="20115" w:type="dxa"/>
        <w:tblLook w:val="0620" w:firstRow="1" w:lastRow="0" w:firstColumn="0" w:lastColumn="0" w:noHBand="1" w:noVBand="1"/>
      </w:tblPr>
      <w:tblGrid>
        <w:gridCol w:w="2732"/>
        <w:gridCol w:w="2840"/>
        <w:gridCol w:w="2486"/>
        <w:gridCol w:w="2599"/>
        <w:gridCol w:w="2679"/>
        <w:gridCol w:w="2502"/>
        <w:gridCol w:w="1130"/>
        <w:gridCol w:w="1049"/>
        <w:gridCol w:w="1049"/>
        <w:gridCol w:w="1049"/>
      </w:tblGrid>
      <w:tr w:rsidR="000D1D20" w14:paraId="37CE102E" w14:textId="77777777" w:rsidTr="001355DB">
        <w:trPr>
          <w:cnfStyle w:val="100000000000" w:firstRow="1" w:lastRow="0" w:firstColumn="0" w:lastColumn="0" w:oddVBand="0" w:evenVBand="0" w:oddHBand="0" w:evenHBand="0" w:firstRowFirstColumn="0" w:firstRowLastColumn="0" w:lastRowFirstColumn="0" w:lastRowLastColumn="0"/>
          <w:trHeight w:val="300"/>
        </w:trPr>
        <w:tc>
          <w:tcPr>
            <w:tcW w:w="0" w:type="dxa"/>
          </w:tcPr>
          <w:p w14:paraId="44EA9B2F" w14:textId="77777777" w:rsidR="000D1D20" w:rsidRDefault="000D1D20" w:rsidP="001355DB">
            <w:pPr>
              <w:pStyle w:val="TableHeading"/>
            </w:pPr>
            <w:r>
              <w:t>Recommendation</w:t>
            </w:r>
          </w:p>
        </w:tc>
        <w:tc>
          <w:tcPr>
            <w:tcW w:w="0" w:type="dxa"/>
          </w:tcPr>
          <w:p w14:paraId="775041FF" w14:textId="77777777" w:rsidR="000D1D20" w:rsidRDefault="000D1D20" w:rsidP="001355DB">
            <w:pPr>
              <w:pStyle w:val="TableHeading"/>
            </w:pPr>
            <w:r>
              <w:t>Notes</w:t>
            </w:r>
          </w:p>
        </w:tc>
        <w:tc>
          <w:tcPr>
            <w:tcW w:w="0" w:type="dxa"/>
          </w:tcPr>
          <w:p w14:paraId="5D00D15D" w14:textId="77777777" w:rsidR="000D1D20" w:rsidRDefault="000D1D20" w:rsidP="001355DB">
            <w:pPr>
              <w:pStyle w:val="TableHeading"/>
            </w:pPr>
            <w:r>
              <w:t>Responsibility</w:t>
            </w:r>
          </w:p>
        </w:tc>
        <w:tc>
          <w:tcPr>
            <w:tcW w:w="0" w:type="dxa"/>
          </w:tcPr>
          <w:p w14:paraId="036CD533" w14:textId="77777777" w:rsidR="000D1D20" w:rsidRDefault="000D1D20" w:rsidP="001355DB">
            <w:pPr>
              <w:pStyle w:val="TableHeading"/>
            </w:pPr>
            <w:r>
              <w:t>Trigger</w:t>
            </w:r>
          </w:p>
        </w:tc>
        <w:tc>
          <w:tcPr>
            <w:tcW w:w="0" w:type="dxa"/>
          </w:tcPr>
          <w:p w14:paraId="013BB509" w14:textId="77777777" w:rsidR="000D1D20" w:rsidRDefault="000D1D20" w:rsidP="001355DB">
            <w:pPr>
              <w:pStyle w:val="TableHeading"/>
            </w:pPr>
            <w:r>
              <w:t>Cost</w:t>
            </w:r>
          </w:p>
        </w:tc>
        <w:tc>
          <w:tcPr>
            <w:tcW w:w="1680" w:type="dxa"/>
          </w:tcPr>
          <w:p w14:paraId="6A9CD3E3" w14:textId="77777777" w:rsidR="000D1D20" w:rsidRDefault="000D1D20" w:rsidP="001355DB">
            <w:pPr>
              <w:pStyle w:val="TableHeading"/>
            </w:pPr>
            <w:r>
              <w:t>Funding</w:t>
            </w:r>
          </w:p>
        </w:tc>
        <w:tc>
          <w:tcPr>
            <w:tcW w:w="784" w:type="dxa"/>
          </w:tcPr>
          <w:p w14:paraId="1D799F75" w14:textId="77777777" w:rsidR="000D1D20" w:rsidRDefault="000D1D20" w:rsidP="001355DB">
            <w:pPr>
              <w:pStyle w:val="TableHeading"/>
            </w:pPr>
            <w:r>
              <w:t>2024-2025</w:t>
            </w:r>
          </w:p>
        </w:tc>
        <w:tc>
          <w:tcPr>
            <w:tcW w:w="0" w:type="dxa"/>
          </w:tcPr>
          <w:p w14:paraId="5DE71156" w14:textId="77777777" w:rsidR="000D1D20" w:rsidRDefault="000D1D20" w:rsidP="001355DB">
            <w:pPr>
              <w:pStyle w:val="TableHeading"/>
            </w:pPr>
            <w:r>
              <w:t>2025-2035</w:t>
            </w:r>
          </w:p>
        </w:tc>
        <w:tc>
          <w:tcPr>
            <w:tcW w:w="0" w:type="dxa"/>
          </w:tcPr>
          <w:p w14:paraId="0490F52D" w14:textId="77777777" w:rsidR="000D1D20" w:rsidRDefault="000D1D20" w:rsidP="001355DB">
            <w:pPr>
              <w:pStyle w:val="TableHeading"/>
            </w:pPr>
            <w:r>
              <w:t>2035-2050</w:t>
            </w:r>
          </w:p>
        </w:tc>
        <w:tc>
          <w:tcPr>
            <w:tcW w:w="0" w:type="dxa"/>
          </w:tcPr>
          <w:p w14:paraId="481A6629" w14:textId="77777777" w:rsidR="000D1D20" w:rsidRPr="000D271C" w:rsidRDefault="000D1D20" w:rsidP="001355DB">
            <w:pPr>
              <w:pStyle w:val="TableHeading"/>
            </w:pPr>
            <w:r>
              <w:t>2050-2120</w:t>
            </w:r>
          </w:p>
        </w:tc>
      </w:tr>
      <w:tr w:rsidR="000D1D20" w14:paraId="1A005267" w14:textId="77777777" w:rsidTr="001355DB">
        <w:trPr>
          <w:trHeight w:val="300"/>
        </w:trPr>
        <w:tc>
          <w:tcPr>
            <w:tcW w:w="0" w:type="dxa"/>
          </w:tcPr>
          <w:p w14:paraId="774F9404" w14:textId="77777777" w:rsidR="000D1D20" w:rsidRDefault="000D1D20" w:rsidP="001355DB">
            <w:pPr>
              <w:pStyle w:val="TableText"/>
            </w:pPr>
            <w:r>
              <w:t>INVESTIGATION 1</w:t>
            </w:r>
          </w:p>
          <w:p w14:paraId="42EE5F74" w14:textId="77777777" w:rsidR="000D1D20" w:rsidRDefault="000D1D20" w:rsidP="001355DB">
            <w:pPr>
              <w:pStyle w:val="TableText"/>
            </w:pPr>
            <w:r>
              <w:t>Sand Source Feasibility Study</w:t>
            </w:r>
          </w:p>
        </w:tc>
        <w:tc>
          <w:tcPr>
            <w:tcW w:w="0" w:type="dxa"/>
          </w:tcPr>
          <w:p w14:paraId="4DD0C4AC" w14:textId="77777777" w:rsidR="000D1D20" w:rsidRDefault="000D1D20" w:rsidP="00FF5CBF">
            <w:pPr>
              <w:pStyle w:val="ListBullet0"/>
              <w:numPr>
                <w:ilvl w:val="0"/>
                <w:numId w:val="57"/>
              </w:numPr>
              <w:spacing w:beforeLines="40" w:before="96" w:afterLines="40" w:after="96" w:line="240" w:lineRule="auto"/>
            </w:pPr>
            <w:r>
              <w:t>Determine the capacity and cost of local sand supplies, including both land-based and marine sources. Undertake early stakeholder engagement and consider approvals required.</w:t>
            </w:r>
          </w:p>
          <w:p w14:paraId="5D15EB06" w14:textId="77777777" w:rsidR="000D1D20" w:rsidRDefault="000D1D20" w:rsidP="00FF5CBF">
            <w:pPr>
              <w:pStyle w:val="ListBullet0"/>
              <w:numPr>
                <w:ilvl w:val="0"/>
                <w:numId w:val="57"/>
              </w:numPr>
              <w:spacing w:beforeLines="40" w:before="96" w:afterLines="40" w:after="96" w:line="240" w:lineRule="auto"/>
            </w:pPr>
            <w:r>
              <w:t>Likely require repetition over Medium-term</w:t>
            </w:r>
          </w:p>
          <w:p w14:paraId="2CE63EA4" w14:textId="77777777" w:rsidR="000D1D20" w:rsidRDefault="000D1D20" w:rsidP="00FF5CBF">
            <w:pPr>
              <w:pStyle w:val="ListBullet0"/>
              <w:numPr>
                <w:ilvl w:val="0"/>
                <w:numId w:val="57"/>
              </w:numPr>
              <w:spacing w:beforeLines="40" w:before="96" w:afterLines="40" w:after="96" w:line="240" w:lineRule="auto"/>
            </w:pPr>
            <w:r>
              <w:t>Focus is sand for beach nourishment and appropriate material for levee construction and potentially to raise height of land in inundation hazard zones.</w:t>
            </w:r>
          </w:p>
        </w:tc>
        <w:tc>
          <w:tcPr>
            <w:tcW w:w="0" w:type="dxa"/>
          </w:tcPr>
          <w:p w14:paraId="17FDDDEA" w14:textId="77777777" w:rsidR="000D1D20" w:rsidRDefault="000D1D20" w:rsidP="00FF5CBF">
            <w:pPr>
              <w:pStyle w:val="ListBullet0"/>
              <w:numPr>
                <w:ilvl w:val="0"/>
                <w:numId w:val="57"/>
              </w:numPr>
              <w:spacing w:beforeLines="40" w:before="96" w:afterLines="40" w:after="96" w:line="240" w:lineRule="auto"/>
            </w:pPr>
            <w:r>
              <w:t>LGA</w:t>
            </w:r>
          </w:p>
          <w:p w14:paraId="013726AA" w14:textId="77777777" w:rsidR="000D1D20" w:rsidRDefault="000D1D20" w:rsidP="00FF5CBF">
            <w:pPr>
              <w:pStyle w:val="ListBullet0"/>
              <w:numPr>
                <w:ilvl w:val="0"/>
                <w:numId w:val="57"/>
              </w:numPr>
              <w:spacing w:beforeLines="40" w:before="96" w:afterLines="40" w:after="96" w:line="240" w:lineRule="auto"/>
            </w:pPr>
            <w:r>
              <w:t>Can seek support from state departments</w:t>
            </w:r>
          </w:p>
        </w:tc>
        <w:tc>
          <w:tcPr>
            <w:tcW w:w="0" w:type="dxa"/>
          </w:tcPr>
          <w:p w14:paraId="3BD2F444" w14:textId="77777777" w:rsidR="000D1D20" w:rsidRDefault="000D1D20" w:rsidP="00FF5CBF">
            <w:pPr>
              <w:pStyle w:val="ListBullet0"/>
              <w:numPr>
                <w:ilvl w:val="0"/>
                <w:numId w:val="57"/>
              </w:numPr>
              <w:spacing w:beforeLines="40" w:before="96" w:afterLines="40" w:after="96" w:line="240" w:lineRule="auto"/>
            </w:pPr>
            <w:r>
              <w:t>Completed CHRMAP</w:t>
            </w:r>
          </w:p>
        </w:tc>
        <w:tc>
          <w:tcPr>
            <w:tcW w:w="0" w:type="dxa"/>
          </w:tcPr>
          <w:p w14:paraId="26F1AA80" w14:textId="77777777" w:rsidR="000D1D20" w:rsidRDefault="000D1D20" w:rsidP="00FF5CBF">
            <w:pPr>
              <w:pStyle w:val="ListBullet0"/>
              <w:numPr>
                <w:ilvl w:val="0"/>
                <w:numId w:val="57"/>
              </w:numPr>
              <w:spacing w:beforeLines="40" w:before="96" w:afterLines="40" w:after="96" w:line="240" w:lineRule="auto"/>
              <w:jc w:val="left"/>
            </w:pPr>
            <w:r>
              <w:t>$150,000</w:t>
            </w:r>
          </w:p>
          <w:p w14:paraId="2026AE9E" w14:textId="77777777" w:rsidR="000D1D20" w:rsidRDefault="000D1D20" w:rsidP="00FF5CBF">
            <w:pPr>
              <w:pStyle w:val="ListBullet0"/>
              <w:numPr>
                <w:ilvl w:val="0"/>
                <w:numId w:val="57"/>
              </w:numPr>
              <w:spacing w:beforeLines="40" w:before="96" w:afterLines="40" w:after="96" w:line="240" w:lineRule="auto"/>
              <w:jc w:val="left"/>
            </w:pPr>
            <w:r>
              <w:t>Assumes undertaken for all MUs</w:t>
            </w:r>
          </w:p>
        </w:tc>
        <w:tc>
          <w:tcPr>
            <w:tcW w:w="1680" w:type="dxa"/>
          </w:tcPr>
          <w:p w14:paraId="0705AD22" w14:textId="77777777" w:rsidR="000D1D20" w:rsidRDefault="000D1D20" w:rsidP="00FF5CBF">
            <w:pPr>
              <w:pStyle w:val="ListBullet0"/>
              <w:numPr>
                <w:ilvl w:val="0"/>
                <w:numId w:val="57"/>
              </w:numPr>
              <w:spacing w:beforeLines="40" w:before="96" w:afterLines="40" w:after="96" w:line="240" w:lineRule="auto"/>
            </w:pPr>
            <w:r>
              <w:t>Operational</w:t>
            </w:r>
          </w:p>
          <w:p w14:paraId="7FCF9AA2" w14:textId="77777777" w:rsidR="000D1D20" w:rsidRDefault="000D1D20" w:rsidP="00FF5CBF">
            <w:pPr>
              <w:pStyle w:val="ListBullet0"/>
              <w:numPr>
                <w:ilvl w:val="0"/>
                <w:numId w:val="57"/>
              </w:numPr>
              <w:spacing w:beforeLines="40" w:before="96" w:afterLines="40" w:after="96" w:line="240" w:lineRule="auto"/>
            </w:pPr>
            <w:r>
              <w:t>Grants (e.g. CAP)</w:t>
            </w:r>
          </w:p>
        </w:tc>
        <w:tc>
          <w:tcPr>
            <w:tcW w:w="784" w:type="dxa"/>
          </w:tcPr>
          <w:p w14:paraId="5A6C3C46" w14:textId="77777777" w:rsidR="000D1D20" w:rsidRDefault="000D1D20" w:rsidP="001355DB">
            <w:pPr>
              <w:pStyle w:val="TableText"/>
            </w:pPr>
            <w:r>
              <w:t>x</w:t>
            </w:r>
          </w:p>
        </w:tc>
        <w:tc>
          <w:tcPr>
            <w:tcW w:w="0" w:type="dxa"/>
          </w:tcPr>
          <w:p w14:paraId="05513A5A" w14:textId="77777777" w:rsidR="000D1D20" w:rsidRDefault="000D1D20" w:rsidP="001355DB">
            <w:pPr>
              <w:pStyle w:val="TableText"/>
            </w:pPr>
            <w:r>
              <w:t>x</w:t>
            </w:r>
          </w:p>
        </w:tc>
        <w:tc>
          <w:tcPr>
            <w:tcW w:w="0" w:type="dxa"/>
          </w:tcPr>
          <w:p w14:paraId="183837E9" w14:textId="77777777" w:rsidR="000D1D20" w:rsidRDefault="000D1D20" w:rsidP="001355DB">
            <w:pPr>
              <w:pStyle w:val="TableText"/>
            </w:pPr>
          </w:p>
        </w:tc>
        <w:tc>
          <w:tcPr>
            <w:tcW w:w="0" w:type="dxa"/>
          </w:tcPr>
          <w:p w14:paraId="3FC59560" w14:textId="77777777" w:rsidR="000D1D20" w:rsidRDefault="000D1D20" w:rsidP="001355DB">
            <w:pPr>
              <w:pStyle w:val="TableText"/>
            </w:pPr>
          </w:p>
        </w:tc>
      </w:tr>
      <w:tr w:rsidR="000D1D20" w14:paraId="411837B5" w14:textId="77777777" w:rsidTr="001355DB">
        <w:trPr>
          <w:trHeight w:val="300"/>
        </w:trPr>
        <w:tc>
          <w:tcPr>
            <w:tcW w:w="0" w:type="dxa"/>
          </w:tcPr>
          <w:p w14:paraId="1965FAAF" w14:textId="77777777" w:rsidR="000D1D20" w:rsidRDefault="000D1D20" w:rsidP="001355DB">
            <w:pPr>
              <w:pStyle w:val="TableText"/>
            </w:pPr>
            <w:r>
              <w:t>INVESTIGATION 2</w:t>
            </w:r>
          </w:p>
          <w:p w14:paraId="784EC710" w14:textId="77777777" w:rsidR="000D1D20" w:rsidRDefault="000D1D20" w:rsidP="001355DB">
            <w:pPr>
              <w:pStyle w:val="TableText"/>
            </w:pPr>
            <w:r>
              <w:t>Update Foreshore Management Plans (FMPs)</w:t>
            </w:r>
          </w:p>
        </w:tc>
        <w:tc>
          <w:tcPr>
            <w:tcW w:w="0" w:type="dxa"/>
          </w:tcPr>
          <w:p w14:paraId="0137B990" w14:textId="77777777" w:rsidR="000D1D20" w:rsidRDefault="000D1D20" w:rsidP="00FF5CBF">
            <w:pPr>
              <w:pStyle w:val="ListBullet0"/>
              <w:numPr>
                <w:ilvl w:val="0"/>
                <w:numId w:val="57"/>
              </w:numPr>
              <w:spacing w:beforeLines="40" w:before="96" w:afterLines="40" w:after="96" w:line="240" w:lineRule="auto"/>
            </w:pPr>
            <w:r>
              <w:t xml:space="preserve">Prepare an updated Foreshore Management Plan </w:t>
            </w:r>
          </w:p>
          <w:p w14:paraId="51D66975" w14:textId="77777777" w:rsidR="000D1D20" w:rsidRDefault="000D1D20" w:rsidP="00FF5CBF">
            <w:pPr>
              <w:pStyle w:val="ListBullet0"/>
              <w:numPr>
                <w:ilvl w:val="0"/>
                <w:numId w:val="57"/>
              </w:numPr>
              <w:spacing w:beforeLines="40" w:before="96" w:afterLines="40" w:after="96" w:line="240" w:lineRule="auto"/>
            </w:pPr>
            <w:r>
              <w:t>An updated FMP could help increase the protective capacity of the natural dune system. Updates should address the requirements of SPP2.6 and incorporate the findings of this CHRMAP</w:t>
            </w:r>
          </w:p>
        </w:tc>
        <w:tc>
          <w:tcPr>
            <w:tcW w:w="0" w:type="dxa"/>
          </w:tcPr>
          <w:p w14:paraId="2998846C" w14:textId="77777777" w:rsidR="000D1D20" w:rsidRDefault="000D1D20" w:rsidP="00FF5CBF">
            <w:pPr>
              <w:pStyle w:val="ListBullet0"/>
              <w:numPr>
                <w:ilvl w:val="0"/>
                <w:numId w:val="57"/>
              </w:numPr>
              <w:spacing w:beforeLines="40" w:before="96" w:afterLines="40" w:after="96" w:line="240" w:lineRule="auto"/>
            </w:pPr>
            <w:r>
              <w:t>LGA</w:t>
            </w:r>
          </w:p>
        </w:tc>
        <w:tc>
          <w:tcPr>
            <w:tcW w:w="0" w:type="dxa"/>
          </w:tcPr>
          <w:p w14:paraId="5B1CFD26" w14:textId="77777777" w:rsidR="000D1D20" w:rsidRDefault="000D1D20" w:rsidP="00FF5CBF">
            <w:pPr>
              <w:pStyle w:val="ListBullet0"/>
              <w:numPr>
                <w:ilvl w:val="0"/>
                <w:numId w:val="57"/>
              </w:numPr>
              <w:spacing w:beforeLines="40" w:before="96" w:afterLines="40" w:after="96" w:line="240" w:lineRule="auto"/>
            </w:pPr>
            <w:r>
              <w:t>Completed CHRMAP</w:t>
            </w:r>
          </w:p>
        </w:tc>
        <w:tc>
          <w:tcPr>
            <w:tcW w:w="0" w:type="dxa"/>
          </w:tcPr>
          <w:p w14:paraId="02287373" w14:textId="77777777" w:rsidR="000D1D20" w:rsidRDefault="000D1D20" w:rsidP="00FF5CBF">
            <w:pPr>
              <w:pStyle w:val="ListBullet0"/>
              <w:numPr>
                <w:ilvl w:val="0"/>
                <w:numId w:val="57"/>
              </w:numPr>
              <w:spacing w:beforeLines="40" w:before="96" w:afterLines="40" w:after="96" w:line="240" w:lineRule="auto"/>
              <w:jc w:val="left"/>
            </w:pPr>
            <w:r>
              <w:t>$30,000</w:t>
            </w:r>
          </w:p>
          <w:p w14:paraId="64E1B1AE" w14:textId="77777777" w:rsidR="000D1D20" w:rsidRDefault="000D1D20" w:rsidP="00FF5CBF">
            <w:pPr>
              <w:pStyle w:val="ListBullet0"/>
              <w:numPr>
                <w:ilvl w:val="0"/>
                <w:numId w:val="57"/>
              </w:numPr>
              <w:spacing w:beforeLines="40" w:before="96" w:afterLines="40" w:after="96" w:line="240" w:lineRule="auto"/>
              <w:jc w:val="left"/>
            </w:pPr>
            <w:r>
              <w:t>Assumes only undertaken for this MU in isolation, but synergies should be investigated.</w:t>
            </w:r>
          </w:p>
        </w:tc>
        <w:tc>
          <w:tcPr>
            <w:tcW w:w="1680" w:type="dxa"/>
          </w:tcPr>
          <w:p w14:paraId="416A552D" w14:textId="77777777" w:rsidR="000D1D20" w:rsidRDefault="000D1D20" w:rsidP="00FF5CBF">
            <w:pPr>
              <w:pStyle w:val="ListBullet0"/>
              <w:numPr>
                <w:ilvl w:val="0"/>
                <w:numId w:val="57"/>
              </w:numPr>
              <w:spacing w:beforeLines="40" w:before="96" w:afterLines="40" w:after="96" w:line="240" w:lineRule="auto"/>
            </w:pPr>
            <w:r>
              <w:t>Operational</w:t>
            </w:r>
          </w:p>
          <w:p w14:paraId="27527E95" w14:textId="77777777" w:rsidR="000D1D20" w:rsidRDefault="000D1D20" w:rsidP="00FF5CBF">
            <w:pPr>
              <w:pStyle w:val="ListBullet0"/>
              <w:numPr>
                <w:ilvl w:val="0"/>
                <w:numId w:val="57"/>
              </w:numPr>
              <w:spacing w:beforeLines="40" w:before="96" w:afterLines="40" w:after="96" w:line="240" w:lineRule="auto"/>
            </w:pPr>
            <w:r>
              <w:t>Grants (e.g. CMPAP)</w:t>
            </w:r>
          </w:p>
        </w:tc>
        <w:tc>
          <w:tcPr>
            <w:tcW w:w="784" w:type="dxa"/>
          </w:tcPr>
          <w:p w14:paraId="22CEEECD" w14:textId="77777777" w:rsidR="000D1D20" w:rsidRDefault="000D1D20" w:rsidP="001355DB">
            <w:pPr>
              <w:pStyle w:val="TableText"/>
            </w:pPr>
            <w:r>
              <w:t>x</w:t>
            </w:r>
          </w:p>
        </w:tc>
        <w:tc>
          <w:tcPr>
            <w:tcW w:w="0" w:type="dxa"/>
          </w:tcPr>
          <w:p w14:paraId="77ABEBB0" w14:textId="77777777" w:rsidR="000D1D20" w:rsidRDefault="000D1D20" w:rsidP="001355DB">
            <w:pPr>
              <w:pStyle w:val="TableText"/>
            </w:pPr>
            <w:r>
              <w:t>x</w:t>
            </w:r>
          </w:p>
        </w:tc>
        <w:tc>
          <w:tcPr>
            <w:tcW w:w="0" w:type="dxa"/>
          </w:tcPr>
          <w:p w14:paraId="197DA824" w14:textId="77777777" w:rsidR="000D1D20" w:rsidRDefault="000D1D20" w:rsidP="001355DB">
            <w:pPr>
              <w:pStyle w:val="TableText"/>
            </w:pPr>
            <w:r>
              <w:t>x</w:t>
            </w:r>
          </w:p>
        </w:tc>
        <w:tc>
          <w:tcPr>
            <w:tcW w:w="0" w:type="dxa"/>
          </w:tcPr>
          <w:p w14:paraId="04A82175" w14:textId="77777777" w:rsidR="000D1D20" w:rsidRDefault="000D1D20" w:rsidP="001355DB">
            <w:pPr>
              <w:pStyle w:val="TableText"/>
            </w:pPr>
            <w:r>
              <w:t>x</w:t>
            </w:r>
          </w:p>
        </w:tc>
      </w:tr>
      <w:tr w:rsidR="000D1D20" w14:paraId="718AC6E5" w14:textId="77777777" w:rsidTr="001355DB">
        <w:trPr>
          <w:trHeight w:val="300"/>
        </w:trPr>
        <w:tc>
          <w:tcPr>
            <w:tcW w:w="0" w:type="dxa"/>
            <w:vAlign w:val="center"/>
          </w:tcPr>
          <w:p w14:paraId="591DE90E" w14:textId="77777777" w:rsidR="000D1D20" w:rsidRDefault="000D1D20" w:rsidP="001355DB">
            <w:pPr>
              <w:pStyle w:val="TableText"/>
            </w:pPr>
            <w:r w:rsidRPr="000856DF">
              <w:t>Locating assets in areas that will not be vulnerable to coastal hazards (AV)</w:t>
            </w:r>
          </w:p>
        </w:tc>
        <w:tc>
          <w:tcPr>
            <w:tcW w:w="0" w:type="dxa"/>
            <w:vAlign w:val="center"/>
          </w:tcPr>
          <w:p w14:paraId="6B8290CE" w14:textId="77777777" w:rsidR="000D1D20" w:rsidRDefault="000D1D20" w:rsidP="00FF5CBF">
            <w:pPr>
              <w:pStyle w:val="ListBullet0"/>
              <w:numPr>
                <w:ilvl w:val="0"/>
                <w:numId w:val="57"/>
              </w:numPr>
              <w:spacing w:beforeLines="40" w:before="96" w:afterLines="40" w:after="96" w:line="240" w:lineRule="auto"/>
            </w:pPr>
            <w:r>
              <w:t>Item cost for investigations and management plans</w:t>
            </w:r>
          </w:p>
        </w:tc>
        <w:tc>
          <w:tcPr>
            <w:tcW w:w="0" w:type="dxa"/>
          </w:tcPr>
          <w:p w14:paraId="0AFA1D0F" w14:textId="77777777" w:rsidR="000D1D20" w:rsidRDefault="000D1D20" w:rsidP="00FF5CBF">
            <w:pPr>
              <w:pStyle w:val="ListBullet0"/>
              <w:numPr>
                <w:ilvl w:val="0"/>
                <w:numId w:val="57"/>
              </w:numPr>
              <w:spacing w:beforeLines="40" w:before="96" w:afterLines="40" w:after="96" w:line="240" w:lineRule="auto"/>
            </w:pPr>
            <w:r>
              <w:t>LGA</w:t>
            </w:r>
          </w:p>
        </w:tc>
        <w:tc>
          <w:tcPr>
            <w:tcW w:w="0" w:type="dxa"/>
          </w:tcPr>
          <w:p w14:paraId="3839836B" w14:textId="77777777" w:rsidR="000D1D20" w:rsidRDefault="000D1D20" w:rsidP="00FF5CBF">
            <w:pPr>
              <w:pStyle w:val="ListBullet0"/>
              <w:numPr>
                <w:ilvl w:val="0"/>
                <w:numId w:val="57"/>
              </w:numPr>
              <w:spacing w:beforeLines="40" w:before="96" w:afterLines="40" w:after="96" w:line="240" w:lineRule="auto"/>
            </w:pPr>
            <w:r>
              <w:t>Completed CHRMAP</w:t>
            </w:r>
          </w:p>
        </w:tc>
        <w:tc>
          <w:tcPr>
            <w:tcW w:w="0" w:type="dxa"/>
          </w:tcPr>
          <w:p w14:paraId="117377D7" w14:textId="77777777" w:rsidR="000D1D20" w:rsidRDefault="000D1D20" w:rsidP="00FF5CBF">
            <w:pPr>
              <w:pStyle w:val="ListBullet0"/>
              <w:numPr>
                <w:ilvl w:val="0"/>
                <w:numId w:val="57"/>
              </w:numPr>
              <w:spacing w:beforeLines="40" w:before="96" w:afterLines="40" w:after="96" w:line="240" w:lineRule="auto"/>
              <w:jc w:val="left"/>
            </w:pPr>
            <w:r>
              <w:t>$50,000</w:t>
            </w:r>
          </w:p>
        </w:tc>
        <w:tc>
          <w:tcPr>
            <w:tcW w:w="1680" w:type="dxa"/>
          </w:tcPr>
          <w:p w14:paraId="15C93006" w14:textId="77777777" w:rsidR="000D1D20" w:rsidRDefault="000D1D20" w:rsidP="00FF5CBF">
            <w:pPr>
              <w:pStyle w:val="ListBullet0"/>
              <w:numPr>
                <w:ilvl w:val="0"/>
                <w:numId w:val="57"/>
              </w:numPr>
              <w:spacing w:beforeLines="40" w:before="96" w:afterLines="40" w:after="96" w:line="240" w:lineRule="auto"/>
            </w:pPr>
            <w:r>
              <w:t>Operational</w:t>
            </w:r>
          </w:p>
        </w:tc>
        <w:tc>
          <w:tcPr>
            <w:tcW w:w="784" w:type="dxa"/>
          </w:tcPr>
          <w:p w14:paraId="62442381" w14:textId="77777777" w:rsidR="000D1D20" w:rsidRDefault="000D1D20" w:rsidP="001355DB">
            <w:pPr>
              <w:pStyle w:val="TableText"/>
            </w:pPr>
            <w:r>
              <w:t>x</w:t>
            </w:r>
          </w:p>
        </w:tc>
        <w:tc>
          <w:tcPr>
            <w:tcW w:w="0" w:type="dxa"/>
          </w:tcPr>
          <w:p w14:paraId="6B12F715" w14:textId="77777777" w:rsidR="000D1D20" w:rsidRDefault="000D1D20" w:rsidP="001355DB">
            <w:pPr>
              <w:pStyle w:val="TableText"/>
            </w:pPr>
            <w:r>
              <w:t>x</w:t>
            </w:r>
          </w:p>
        </w:tc>
        <w:tc>
          <w:tcPr>
            <w:tcW w:w="0" w:type="dxa"/>
          </w:tcPr>
          <w:p w14:paraId="519DDE0F" w14:textId="77777777" w:rsidR="000D1D20" w:rsidRDefault="000D1D20" w:rsidP="001355DB">
            <w:pPr>
              <w:pStyle w:val="TableText"/>
            </w:pPr>
          </w:p>
        </w:tc>
        <w:tc>
          <w:tcPr>
            <w:tcW w:w="0" w:type="dxa"/>
          </w:tcPr>
          <w:p w14:paraId="305CC1FD" w14:textId="77777777" w:rsidR="000D1D20" w:rsidRDefault="000D1D20" w:rsidP="001355DB">
            <w:pPr>
              <w:pStyle w:val="TableText"/>
            </w:pPr>
          </w:p>
        </w:tc>
      </w:tr>
      <w:tr w:rsidR="000D1D20" w14:paraId="42289B4F" w14:textId="77777777" w:rsidTr="001355DB">
        <w:trPr>
          <w:trHeight w:val="300"/>
        </w:trPr>
        <w:tc>
          <w:tcPr>
            <w:tcW w:w="0" w:type="dxa"/>
            <w:vAlign w:val="center"/>
          </w:tcPr>
          <w:p w14:paraId="73FD4409" w14:textId="77777777" w:rsidR="000D1D20" w:rsidRDefault="000D1D20" w:rsidP="001355DB">
            <w:pPr>
              <w:pStyle w:val="TableText"/>
            </w:pPr>
            <w:r w:rsidRPr="000856DF">
              <w:t>Monitoring (NR1)</w:t>
            </w:r>
          </w:p>
        </w:tc>
        <w:tc>
          <w:tcPr>
            <w:tcW w:w="0" w:type="dxa"/>
            <w:vAlign w:val="center"/>
          </w:tcPr>
          <w:p w14:paraId="56280F6B" w14:textId="77777777" w:rsidR="000D1D20" w:rsidRDefault="000D1D20" w:rsidP="00FF5CBF">
            <w:pPr>
              <w:pStyle w:val="ListBullet0"/>
              <w:numPr>
                <w:ilvl w:val="0"/>
                <w:numId w:val="57"/>
              </w:numPr>
              <w:spacing w:beforeLines="40" w:before="96" w:afterLines="40" w:after="96" w:line="240" w:lineRule="auto"/>
            </w:pPr>
            <w:r>
              <w:t>Beach survey for storm behaviour and to track HSD and inundation levels</w:t>
            </w:r>
          </w:p>
          <w:p w14:paraId="59E46957" w14:textId="77777777" w:rsidR="000D1D20" w:rsidRDefault="000D1D20" w:rsidP="00FF5CBF">
            <w:pPr>
              <w:pStyle w:val="ListBullet0"/>
              <w:numPr>
                <w:ilvl w:val="0"/>
                <w:numId w:val="57"/>
              </w:numPr>
              <w:spacing w:beforeLines="40" w:before="96" w:afterLines="40" w:after="96" w:line="240" w:lineRule="auto"/>
            </w:pPr>
            <w:r>
              <w:t>Routine beach profiles every six months</w:t>
            </w:r>
          </w:p>
        </w:tc>
        <w:tc>
          <w:tcPr>
            <w:tcW w:w="0" w:type="dxa"/>
          </w:tcPr>
          <w:p w14:paraId="2AAA16E8" w14:textId="77777777" w:rsidR="000D1D20" w:rsidRDefault="000D1D20" w:rsidP="00FF5CBF">
            <w:pPr>
              <w:pStyle w:val="ListBullet0"/>
              <w:numPr>
                <w:ilvl w:val="0"/>
                <w:numId w:val="57"/>
              </w:numPr>
              <w:spacing w:beforeLines="40" w:before="96" w:afterLines="40" w:after="96" w:line="240" w:lineRule="auto"/>
            </w:pPr>
            <w:r>
              <w:t>LGA</w:t>
            </w:r>
          </w:p>
          <w:p w14:paraId="5A3D9620" w14:textId="77777777" w:rsidR="000D1D20" w:rsidRDefault="000D1D20" w:rsidP="00FF5CBF">
            <w:pPr>
              <w:pStyle w:val="ListBullet0"/>
              <w:numPr>
                <w:ilvl w:val="0"/>
                <w:numId w:val="57"/>
              </w:numPr>
              <w:spacing w:beforeLines="40" w:before="96" w:afterLines="40" w:after="96" w:line="240" w:lineRule="auto"/>
            </w:pPr>
            <w:r>
              <w:t>Can seek support and assistance from DoT</w:t>
            </w:r>
          </w:p>
        </w:tc>
        <w:tc>
          <w:tcPr>
            <w:tcW w:w="0" w:type="dxa"/>
          </w:tcPr>
          <w:p w14:paraId="07B52D49" w14:textId="77777777" w:rsidR="000D1D20" w:rsidRDefault="000D1D20" w:rsidP="00FF5CBF">
            <w:pPr>
              <w:pStyle w:val="ListBullet0"/>
              <w:numPr>
                <w:ilvl w:val="0"/>
                <w:numId w:val="57"/>
              </w:numPr>
              <w:spacing w:beforeLines="40" w:before="96" w:afterLines="40" w:after="96" w:line="240" w:lineRule="auto"/>
            </w:pPr>
            <w:r>
              <w:t>Completed CHRMAP</w:t>
            </w:r>
          </w:p>
          <w:p w14:paraId="4C96ECF6" w14:textId="77777777" w:rsidR="000D1D20" w:rsidRDefault="000D1D20" w:rsidP="00FF5CBF">
            <w:pPr>
              <w:pStyle w:val="ListBullet0"/>
              <w:numPr>
                <w:ilvl w:val="0"/>
                <w:numId w:val="57"/>
              </w:numPr>
              <w:spacing w:beforeLines="40" w:before="96" w:afterLines="40" w:after="96" w:line="240" w:lineRule="auto"/>
            </w:pPr>
            <w:r>
              <w:t>Severe storm event(s)</w:t>
            </w:r>
          </w:p>
        </w:tc>
        <w:tc>
          <w:tcPr>
            <w:tcW w:w="0" w:type="dxa"/>
          </w:tcPr>
          <w:p w14:paraId="550D6FFC" w14:textId="77777777" w:rsidR="000D1D20" w:rsidRDefault="000D1D20" w:rsidP="00FF5CBF">
            <w:pPr>
              <w:pStyle w:val="ListBullet0"/>
              <w:numPr>
                <w:ilvl w:val="0"/>
                <w:numId w:val="57"/>
              </w:numPr>
              <w:spacing w:beforeLines="40" w:before="96" w:afterLines="40" w:after="96" w:line="240" w:lineRule="auto"/>
              <w:jc w:val="left"/>
            </w:pPr>
            <w:r>
              <w:t>$15,000 annually</w:t>
            </w:r>
          </w:p>
        </w:tc>
        <w:tc>
          <w:tcPr>
            <w:tcW w:w="1680" w:type="dxa"/>
          </w:tcPr>
          <w:p w14:paraId="7F8DEF7C" w14:textId="77777777" w:rsidR="000D1D20" w:rsidRDefault="000D1D20" w:rsidP="00FF5CBF">
            <w:pPr>
              <w:pStyle w:val="ListBullet0"/>
              <w:numPr>
                <w:ilvl w:val="0"/>
                <w:numId w:val="57"/>
              </w:numPr>
              <w:spacing w:beforeLines="40" w:before="96" w:afterLines="40" w:after="96" w:line="240" w:lineRule="auto"/>
            </w:pPr>
            <w:r>
              <w:t>Operational</w:t>
            </w:r>
          </w:p>
          <w:p w14:paraId="03295931" w14:textId="77777777" w:rsidR="000D1D20" w:rsidRDefault="000D1D20" w:rsidP="00FF5CBF">
            <w:pPr>
              <w:pStyle w:val="ListBullet0"/>
              <w:numPr>
                <w:ilvl w:val="0"/>
                <w:numId w:val="57"/>
              </w:numPr>
              <w:spacing w:beforeLines="40" w:before="96" w:afterLines="40" w:after="96" w:line="240" w:lineRule="auto"/>
            </w:pPr>
            <w:r>
              <w:t>Grants (e.g. CAP)</w:t>
            </w:r>
          </w:p>
        </w:tc>
        <w:tc>
          <w:tcPr>
            <w:tcW w:w="784" w:type="dxa"/>
          </w:tcPr>
          <w:p w14:paraId="644F6B10" w14:textId="77777777" w:rsidR="000D1D20" w:rsidRDefault="000D1D20" w:rsidP="001355DB">
            <w:pPr>
              <w:pStyle w:val="TableText"/>
            </w:pPr>
            <w:r>
              <w:t>x</w:t>
            </w:r>
          </w:p>
        </w:tc>
        <w:tc>
          <w:tcPr>
            <w:tcW w:w="0" w:type="dxa"/>
          </w:tcPr>
          <w:p w14:paraId="55CB42D8" w14:textId="77777777" w:rsidR="000D1D20" w:rsidRDefault="000D1D20" w:rsidP="001355DB">
            <w:pPr>
              <w:pStyle w:val="TableText"/>
            </w:pPr>
            <w:r>
              <w:t>x</w:t>
            </w:r>
          </w:p>
        </w:tc>
        <w:tc>
          <w:tcPr>
            <w:tcW w:w="0" w:type="dxa"/>
          </w:tcPr>
          <w:p w14:paraId="71D036E0" w14:textId="77777777" w:rsidR="000D1D20" w:rsidRDefault="000D1D20" w:rsidP="001355DB">
            <w:pPr>
              <w:pStyle w:val="TableText"/>
            </w:pPr>
            <w:r>
              <w:t>x</w:t>
            </w:r>
          </w:p>
        </w:tc>
        <w:tc>
          <w:tcPr>
            <w:tcW w:w="0" w:type="dxa"/>
          </w:tcPr>
          <w:p w14:paraId="5BD62A7B" w14:textId="77777777" w:rsidR="000D1D20" w:rsidRDefault="000D1D20" w:rsidP="001355DB">
            <w:pPr>
              <w:pStyle w:val="TableText"/>
            </w:pPr>
            <w:r>
              <w:t>x</w:t>
            </w:r>
          </w:p>
        </w:tc>
      </w:tr>
      <w:tr w:rsidR="000D1D20" w14:paraId="2BB69B2D" w14:textId="77777777" w:rsidTr="001355DB">
        <w:trPr>
          <w:trHeight w:val="300"/>
        </w:trPr>
        <w:tc>
          <w:tcPr>
            <w:tcW w:w="0" w:type="dxa"/>
            <w:vAlign w:val="center"/>
          </w:tcPr>
          <w:p w14:paraId="2ADAEB62" w14:textId="77777777" w:rsidR="000D1D20" w:rsidRDefault="000D1D20" w:rsidP="001355DB">
            <w:pPr>
              <w:pStyle w:val="TableText"/>
            </w:pPr>
            <w:r w:rsidRPr="000856DF">
              <w:t>Notification on title (NR3)</w:t>
            </w:r>
          </w:p>
        </w:tc>
        <w:tc>
          <w:tcPr>
            <w:tcW w:w="0" w:type="dxa"/>
            <w:vAlign w:val="center"/>
          </w:tcPr>
          <w:p w14:paraId="2B84E598" w14:textId="77777777" w:rsidR="000D1D20" w:rsidRDefault="000D1D20" w:rsidP="00FF5CBF">
            <w:pPr>
              <w:pStyle w:val="ListBullet0"/>
              <w:numPr>
                <w:ilvl w:val="0"/>
                <w:numId w:val="57"/>
              </w:numPr>
              <w:spacing w:beforeLines="40" w:before="96" w:afterLines="40" w:after="96" w:line="240" w:lineRule="auto"/>
            </w:pPr>
            <w:r>
              <w:t>Item cost for investigations and implementation plans</w:t>
            </w:r>
          </w:p>
        </w:tc>
        <w:tc>
          <w:tcPr>
            <w:tcW w:w="0" w:type="dxa"/>
          </w:tcPr>
          <w:p w14:paraId="2468CDA4" w14:textId="77777777" w:rsidR="000D1D20" w:rsidRDefault="000D1D20" w:rsidP="00FF5CBF">
            <w:pPr>
              <w:pStyle w:val="ListBullet0"/>
              <w:numPr>
                <w:ilvl w:val="0"/>
                <w:numId w:val="57"/>
              </w:numPr>
              <w:spacing w:beforeLines="40" w:before="96" w:afterLines="40" w:after="96" w:line="240" w:lineRule="auto"/>
            </w:pPr>
            <w:r>
              <w:t>LGA</w:t>
            </w:r>
          </w:p>
          <w:p w14:paraId="63A5C2C0" w14:textId="77777777" w:rsidR="000D1D20" w:rsidRDefault="000D1D20" w:rsidP="00FF5CBF">
            <w:pPr>
              <w:pStyle w:val="ListBullet0"/>
              <w:numPr>
                <w:ilvl w:val="0"/>
                <w:numId w:val="57"/>
              </w:numPr>
              <w:spacing w:beforeLines="40" w:before="96" w:afterLines="40" w:after="96" w:line="240" w:lineRule="auto"/>
            </w:pPr>
            <w:r>
              <w:t>Can seek support and assistance from DPLH, WALGA</w:t>
            </w:r>
          </w:p>
        </w:tc>
        <w:tc>
          <w:tcPr>
            <w:tcW w:w="0" w:type="dxa"/>
          </w:tcPr>
          <w:p w14:paraId="692D261A" w14:textId="77777777" w:rsidR="000D1D20" w:rsidRDefault="000D1D20" w:rsidP="00FF5CBF">
            <w:pPr>
              <w:pStyle w:val="ListBullet0"/>
              <w:numPr>
                <w:ilvl w:val="0"/>
                <w:numId w:val="57"/>
              </w:numPr>
              <w:spacing w:beforeLines="40" w:before="96" w:afterLines="40" w:after="96" w:line="240" w:lineRule="auto"/>
            </w:pPr>
            <w:r>
              <w:t>Completed CHRMAP</w:t>
            </w:r>
          </w:p>
        </w:tc>
        <w:tc>
          <w:tcPr>
            <w:tcW w:w="0" w:type="dxa"/>
          </w:tcPr>
          <w:p w14:paraId="041B91EF" w14:textId="77777777" w:rsidR="000D1D20" w:rsidRDefault="000D1D20" w:rsidP="00FF5CBF">
            <w:pPr>
              <w:pStyle w:val="ListBullet0"/>
              <w:numPr>
                <w:ilvl w:val="0"/>
                <w:numId w:val="57"/>
              </w:numPr>
              <w:spacing w:beforeLines="40" w:before="96" w:afterLines="40" w:after="96" w:line="240" w:lineRule="auto"/>
              <w:jc w:val="left"/>
            </w:pPr>
            <w:r>
              <w:t>$50,000</w:t>
            </w:r>
          </w:p>
          <w:p w14:paraId="30BA332D" w14:textId="77777777" w:rsidR="000D1D20" w:rsidRDefault="000D1D20" w:rsidP="00FF5CBF">
            <w:pPr>
              <w:pStyle w:val="ListBullet0"/>
              <w:numPr>
                <w:ilvl w:val="0"/>
                <w:numId w:val="57"/>
              </w:numPr>
              <w:spacing w:beforeLines="40" w:before="96" w:afterLines="40" w:after="96" w:line="240" w:lineRule="auto"/>
              <w:jc w:val="left"/>
            </w:pPr>
            <w:r>
              <w:t>(Plus 1% annual maintenance of $500)</w:t>
            </w:r>
          </w:p>
        </w:tc>
        <w:tc>
          <w:tcPr>
            <w:tcW w:w="1680" w:type="dxa"/>
          </w:tcPr>
          <w:p w14:paraId="724A0569" w14:textId="77777777" w:rsidR="000D1D20" w:rsidRDefault="000D1D20" w:rsidP="00FF5CBF">
            <w:pPr>
              <w:pStyle w:val="ListBullet0"/>
              <w:numPr>
                <w:ilvl w:val="0"/>
                <w:numId w:val="57"/>
              </w:numPr>
              <w:spacing w:beforeLines="40" w:before="96" w:afterLines="40" w:after="96" w:line="240" w:lineRule="auto"/>
            </w:pPr>
            <w:r>
              <w:t>Operational</w:t>
            </w:r>
          </w:p>
          <w:p w14:paraId="1CBE729A" w14:textId="77777777" w:rsidR="000D1D20" w:rsidRDefault="000D1D20" w:rsidP="00FF5CBF">
            <w:pPr>
              <w:pStyle w:val="ListBullet0"/>
              <w:numPr>
                <w:ilvl w:val="0"/>
                <w:numId w:val="57"/>
              </w:numPr>
              <w:spacing w:beforeLines="40" w:before="96" w:afterLines="40" w:after="96" w:line="240" w:lineRule="auto"/>
            </w:pPr>
            <w:r>
              <w:t>Grants (e.g. CMPAP)</w:t>
            </w:r>
          </w:p>
        </w:tc>
        <w:tc>
          <w:tcPr>
            <w:tcW w:w="784" w:type="dxa"/>
          </w:tcPr>
          <w:p w14:paraId="513F2F53" w14:textId="77777777" w:rsidR="000D1D20" w:rsidRDefault="000D1D20" w:rsidP="001355DB">
            <w:pPr>
              <w:pStyle w:val="TableText"/>
            </w:pPr>
            <w:r>
              <w:t>x</w:t>
            </w:r>
          </w:p>
        </w:tc>
        <w:tc>
          <w:tcPr>
            <w:tcW w:w="0" w:type="dxa"/>
          </w:tcPr>
          <w:p w14:paraId="00075188" w14:textId="77777777" w:rsidR="000D1D20" w:rsidRDefault="000D1D20" w:rsidP="001355DB">
            <w:pPr>
              <w:pStyle w:val="TableText"/>
            </w:pPr>
            <w:r>
              <w:t>x</w:t>
            </w:r>
          </w:p>
        </w:tc>
        <w:tc>
          <w:tcPr>
            <w:tcW w:w="0" w:type="dxa"/>
          </w:tcPr>
          <w:p w14:paraId="33CF81BC" w14:textId="77777777" w:rsidR="000D1D20" w:rsidRDefault="000D1D20" w:rsidP="001355DB">
            <w:pPr>
              <w:pStyle w:val="TableText"/>
            </w:pPr>
          </w:p>
        </w:tc>
        <w:tc>
          <w:tcPr>
            <w:tcW w:w="0" w:type="dxa"/>
          </w:tcPr>
          <w:p w14:paraId="3AB0CD09" w14:textId="77777777" w:rsidR="000D1D20" w:rsidRDefault="000D1D20" w:rsidP="001355DB">
            <w:pPr>
              <w:pStyle w:val="TableText"/>
            </w:pPr>
          </w:p>
        </w:tc>
      </w:tr>
      <w:tr w:rsidR="000D1D20" w14:paraId="1B334060" w14:textId="77777777" w:rsidTr="001355DB">
        <w:trPr>
          <w:trHeight w:val="300"/>
        </w:trPr>
        <w:tc>
          <w:tcPr>
            <w:tcW w:w="0" w:type="dxa"/>
            <w:vAlign w:val="center"/>
          </w:tcPr>
          <w:p w14:paraId="176BDD13" w14:textId="77777777" w:rsidR="000D1D20" w:rsidRPr="00086078" w:rsidRDefault="000D1D20" w:rsidP="001355DB">
            <w:pPr>
              <w:pStyle w:val="TableText"/>
            </w:pPr>
            <w:r w:rsidRPr="00086078">
              <w:lastRenderedPageBreak/>
              <w:t>Protection Structure Audit (NR2)</w:t>
            </w:r>
          </w:p>
        </w:tc>
        <w:tc>
          <w:tcPr>
            <w:tcW w:w="0" w:type="dxa"/>
            <w:vAlign w:val="center"/>
          </w:tcPr>
          <w:p w14:paraId="200CDF92" w14:textId="77777777" w:rsidR="000D1D20" w:rsidRPr="00086078" w:rsidRDefault="000D1D20" w:rsidP="00FF5CBF">
            <w:pPr>
              <w:pStyle w:val="ListBullet0"/>
              <w:numPr>
                <w:ilvl w:val="0"/>
                <w:numId w:val="57"/>
              </w:numPr>
              <w:spacing w:beforeLines="40" w:before="96" w:afterLines="40" w:after="96" w:line="240" w:lineRule="auto"/>
            </w:pPr>
            <w:r>
              <w:t>Item cost to inspect coastal asset condition, influence on sediment transport and inundation and remaining design life on all coastal management structures</w:t>
            </w:r>
          </w:p>
          <w:p w14:paraId="28E9AA53" w14:textId="77777777" w:rsidR="000D1D20" w:rsidRPr="00086078" w:rsidRDefault="000D1D20" w:rsidP="00FF5CBF">
            <w:pPr>
              <w:pStyle w:val="ListBullet0"/>
              <w:numPr>
                <w:ilvl w:val="0"/>
                <w:numId w:val="57"/>
              </w:numPr>
              <w:spacing w:beforeLines="40" w:before="96" w:afterLines="40" w:after="96" w:line="240" w:lineRule="auto"/>
            </w:pPr>
            <w:r>
              <w:t>Includes revetments along Princess Royal Drive (small section) and Frenchman Bay Rd; and could include consideration of informal structures at the Woolstores site.</w:t>
            </w:r>
          </w:p>
        </w:tc>
        <w:tc>
          <w:tcPr>
            <w:tcW w:w="0" w:type="dxa"/>
          </w:tcPr>
          <w:p w14:paraId="2737F42A" w14:textId="77777777" w:rsidR="000D1D20" w:rsidRDefault="000D1D20" w:rsidP="00FF5CBF">
            <w:pPr>
              <w:pStyle w:val="ListBullet0"/>
              <w:numPr>
                <w:ilvl w:val="0"/>
                <w:numId w:val="57"/>
              </w:numPr>
              <w:spacing w:beforeLines="40" w:before="96" w:afterLines="40" w:after="96" w:line="240" w:lineRule="auto"/>
            </w:pPr>
            <w:r>
              <w:t>LGA</w:t>
            </w:r>
          </w:p>
        </w:tc>
        <w:tc>
          <w:tcPr>
            <w:tcW w:w="0" w:type="dxa"/>
          </w:tcPr>
          <w:p w14:paraId="289ECA13" w14:textId="77777777" w:rsidR="000D1D20" w:rsidRDefault="000D1D20" w:rsidP="00FF5CBF">
            <w:pPr>
              <w:pStyle w:val="ListBullet0"/>
              <w:numPr>
                <w:ilvl w:val="0"/>
                <w:numId w:val="57"/>
              </w:numPr>
              <w:spacing w:beforeLines="40" w:before="96" w:afterLines="40" w:after="96" w:line="240" w:lineRule="auto"/>
            </w:pPr>
            <w:r>
              <w:t>Completed CHRMAP</w:t>
            </w:r>
          </w:p>
        </w:tc>
        <w:tc>
          <w:tcPr>
            <w:tcW w:w="0" w:type="dxa"/>
          </w:tcPr>
          <w:p w14:paraId="6EBAF412" w14:textId="77777777" w:rsidR="000D1D20" w:rsidRDefault="000D1D20" w:rsidP="00FF5CBF">
            <w:pPr>
              <w:pStyle w:val="ListBullet0"/>
              <w:numPr>
                <w:ilvl w:val="0"/>
                <w:numId w:val="57"/>
              </w:numPr>
              <w:spacing w:beforeLines="40" w:before="96" w:afterLines="40" w:after="96" w:line="240" w:lineRule="auto"/>
              <w:jc w:val="left"/>
            </w:pPr>
            <w:r>
              <w:t>$50,000</w:t>
            </w:r>
          </w:p>
          <w:p w14:paraId="15324716" w14:textId="77777777" w:rsidR="000D1D20" w:rsidRDefault="000D1D20" w:rsidP="00FF5CBF">
            <w:pPr>
              <w:pStyle w:val="ListBullet0"/>
              <w:numPr>
                <w:ilvl w:val="0"/>
                <w:numId w:val="57"/>
              </w:numPr>
              <w:spacing w:beforeLines="40" w:before="96" w:afterLines="40" w:after="96" w:line="240" w:lineRule="auto"/>
              <w:jc w:val="left"/>
            </w:pPr>
            <w:r>
              <w:t>(Plus 2% annual maintenance of $1,000)</w:t>
            </w:r>
          </w:p>
        </w:tc>
        <w:tc>
          <w:tcPr>
            <w:tcW w:w="1680" w:type="dxa"/>
          </w:tcPr>
          <w:p w14:paraId="44DDC3E0" w14:textId="77777777" w:rsidR="000D1D20" w:rsidRDefault="000D1D20" w:rsidP="00FF5CBF">
            <w:pPr>
              <w:pStyle w:val="ListBullet0"/>
              <w:numPr>
                <w:ilvl w:val="0"/>
                <w:numId w:val="57"/>
              </w:numPr>
              <w:spacing w:beforeLines="40" w:before="96" w:afterLines="40" w:after="96" w:line="240" w:lineRule="auto"/>
            </w:pPr>
            <w:r>
              <w:t>Operational</w:t>
            </w:r>
          </w:p>
          <w:p w14:paraId="0AB03AA6" w14:textId="77777777" w:rsidR="000D1D20" w:rsidRDefault="000D1D20" w:rsidP="00FF5CBF">
            <w:pPr>
              <w:pStyle w:val="ListBullet0"/>
              <w:numPr>
                <w:ilvl w:val="0"/>
                <w:numId w:val="57"/>
              </w:numPr>
              <w:spacing w:beforeLines="40" w:before="96" w:afterLines="40" w:after="96" w:line="240" w:lineRule="auto"/>
            </w:pPr>
            <w:r>
              <w:t>Grants (e.g. CAP)</w:t>
            </w:r>
          </w:p>
        </w:tc>
        <w:tc>
          <w:tcPr>
            <w:tcW w:w="784" w:type="dxa"/>
          </w:tcPr>
          <w:p w14:paraId="25C6B6B7" w14:textId="77777777" w:rsidR="000D1D20" w:rsidRDefault="000D1D20" w:rsidP="001355DB">
            <w:pPr>
              <w:pStyle w:val="TableText"/>
            </w:pPr>
          </w:p>
        </w:tc>
        <w:tc>
          <w:tcPr>
            <w:tcW w:w="0" w:type="dxa"/>
          </w:tcPr>
          <w:p w14:paraId="535C5E19" w14:textId="77777777" w:rsidR="000D1D20" w:rsidRDefault="000D1D20" w:rsidP="001355DB">
            <w:pPr>
              <w:pStyle w:val="TableText"/>
            </w:pPr>
            <w:r>
              <w:t>x</w:t>
            </w:r>
          </w:p>
        </w:tc>
        <w:tc>
          <w:tcPr>
            <w:tcW w:w="0" w:type="dxa"/>
          </w:tcPr>
          <w:p w14:paraId="1992DA33" w14:textId="77777777" w:rsidR="000D1D20" w:rsidRDefault="000D1D20" w:rsidP="001355DB">
            <w:pPr>
              <w:pStyle w:val="TableText"/>
            </w:pPr>
            <w:r>
              <w:t>x</w:t>
            </w:r>
          </w:p>
        </w:tc>
        <w:tc>
          <w:tcPr>
            <w:tcW w:w="0" w:type="dxa"/>
          </w:tcPr>
          <w:p w14:paraId="31C98655" w14:textId="77777777" w:rsidR="000D1D20" w:rsidRDefault="000D1D20" w:rsidP="001355DB">
            <w:pPr>
              <w:pStyle w:val="TableText"/>
            </w:pPr>
          </w:p>
        </w:tc>
      </w:tr>
      <w:tr w:rsidR="000D1D20" w14:paraId="1C74CCE9" w14:textId="77777777" w:rsidTr="001355DB">
        <w:trPr>
          <w:trHeight w:val="300"/>
        </w:trPr>
        <w:tc>
          <w:tcPr>
            <w:tcW w:w="0" w:type="dxa"/>
            <w:vAlign w:val="center"/>
          </w:tcPr>
          <w:p w14:paraId="18396005" w14:textId="77777777" w:rsidR="000D1D20" w:rsidRDefault="000D1D20" w:rsidP="001355DB">
            <w:pPr>
              <w:pStyle w:val="TableText"/>
            </w:pPr>
            <w:r w:rsidRPr="000856DF">
              <w:t>Emergency evacuation plans (NR4)</w:t>
            </w:r>
          </w:p>
        </w:tc>
        <w:tc>
          <w:tcPr>
            <w:tcW w:w="0" w:type="dxa"/>
            <w:vAlign w:val="center"/>
          </w:tcPr>
          <w:p w14:paraId="6C255BAF" w14:textId="77777777" w:rsidR="000D1D20" w:rsidRDefault="000D1D20" w:rsidP="00FF5CBF">
            <w:pPr>
              <w:pStyle w:val="ListBullet0"/>
              <w:numPr>
                <w:ilvl w:val="0"/>
                <w:numId w:val="56"/>
              </w:numPr>
              <w:spacing w:beforeLines="40" w:before="96" w:afterLines="40" w:after="96" w:line="240" w:lineRule="auto"/>
            </w:pPr>
            <w:r>
              <w:t>Item cost for investigations and evacuation plans</w:t>
            </w:r>
          </w:p>
        </w:tc>
        <w:tc>
          <w:tcPr>
            <w:tcW w:w="0" w:type="dxa"/>
          </w:tcPr>
          <w:p w14:paraId="703B276E" w14:textId="77777777" w:rsidR="000D1D20" w:rsidRDefault="000D1D20" w:rsidP="00FF5CBF">
            <w:pPr>
              <w:pStyle w:val="ListBullet0"/>
              <w:numPr>
                <w:ilvl w:val="0"/>
                <w:numId w:val="56"/>
              </w:numPr>
              <w:spacing w:beforeLines="40" w:before="96" w:afterLines="40" w:after="96" w:line="240" w:lineRule="auto"/>
            </w:pPr>
            <w:r>
              <w:t>LGA</w:t>
            </w:r>
          </w:p>
        </w:tc>
        <w:tc>
          <w:tcPr>
            <w:tcW w:w="0" w:type="dxa"/>
          </w:tcPr>
          <w:p w14:paraId="2864A5AB" w14:textId="77777777" w:rsidR="000D1D20" w:rsidRDefault="000D1D20" w:rsidP="00FF5CBF">
            <w:pPr>
              <w:pStyle w:val="ListBullet0"/>
              <w:numPr>
                <w:ilvl w:val="0"/>
                <w:numId w:val="56"/>
              </w:numPr>
              <w:spacing w:beforeLines="40" w:before="96" w:afterLines="40" w:after="96" w:line="240" w:lineRule="auto"/>
            </w:pPr>
            <w:r>
              <w:t>Completed CHRMAP</w:t>
            </w:r>
          </w:p>
        </w:tc>
        <w:tc>
          <w:tcPr>
            <w:tcW w:w="0" w:type="dxa"/>
          </w:tcPr>
          <w:p w14:paraId="38344A98" w14:textId="77777777" w:rsidR="000D1D20" w:rsidRDefault="000D1D20" w:rsidP="00FF5CBF">
            <w:pPr>
              <w:pStyle w:val="ListBullet0"/>
              <w:numPr>
                <w:ilvl w:val="0"/>
                <w:numId w:val="56"/>
              </w:numPr>
              <w:spacing w:beforeLines="40" w:before="96" w:afterLines="40" w:after="96" w:line="240" w:lineRule="auto"/>
              <w:jc w:val="left"/>
            </w:pPr>
            <w:r>
              <w:t>$100,000</w:t>
            </w:r>
          </w:p>
          <w:p w14:paraId="491E68E8" w14:textId="77777777" w:rsidR="000D1D20" w:rsidRDefault="000D1D20" w:rsidP="00FF5CBF">
            <w:pPr>
              <w:pStyle w:val="ListBullet0"/>
              <w:numPr>
                <w:ilvl w:val="0"/>
                <w:numId w:val="56"/>
              </w:numPr>
              <w:spacing w:beforeLines="40" w:before="96" w:afterLines="40" w:after="96" w:line="240" w:lineRule="auto"/>
              <w:jc w:val="left"/>
            </w:pPr>
            <w:r>
              <w:t>(Plus 1% annual maintenance of $1,000)</w:t>
            </w:r>
          </w:p>
        </w:tc>
        <w:tc>
          <w:tcPr>
            <w:tcW w:w="1680" w:type="dxa"/>
          </w:tcPr>
          <w:p w14:paraId="2EAB7542" w14:textId="77777777" w:rsidR="000D1D20" w:rsidRDefault="000D1D20" w:rsidP="00FF5CBF">
            <w:pPr>
              <w:pStyle w:val="ListBullet0"/>
              <w:numPr>
                <w:ilvl w:val="0"/>
                <w:numId w:val="56"/>
              </w:numPr>
              <w:spacing w:beforeLines="40" w:before="96" w:afterLines="40" w:after="96" w:line="240" w:lineRule="auto"/>
            </w:pPr>
            <w:r>
              <w:t>Operational</w:t>
            </w:r>
          </w:p>
          <w:p w14:paraId="02BE2AD0" w14:textId="77777777" w:rsidR="000D1D20" w:rsidRDefault="000D1D20" w:rsidP="00FF5CBF">
            <w:pPr>
              <w:pStyle w:val="ListBullet0"/>
              <w:numPr>
                <w:ilvl w:val="0"/>
                <w:numId w:val="56"/>
              </w:numPr>
              <w:spacing w:beforeLines="40" w:before="96" w:afterLines="40" w:after="96" w:line="240" w:lineRule="auto"/>
            </w:pPr>
            <w:r>
              <w:t>Grants (e.g. DRF)</w:t>
            </w:r>
          </w:p>
        </w:tc>
        <w:tc>
          <w:tcPr>
            <w:tcW w:w="784" w:type="dxa"/>
          </w:tcPr>
          <w:p w14:paraId="547D2C20" w14:textId="77777777" w:rsidR="000D1D20" w:rsidRDefault="000D1D20" w:rsidP="001355DB">
            <w:pPr>
              <w:pStyle w:val="TableText"/>
            </w:pPr>
            <w:r>
              <w:t>x</w:t>
            </w:r>
          </w:p>
        </w:tc>
        <w:tc>
          <w:tcPr>
            <w:tcW w:w="0" w:type="dxa"/>
          </w:tcPr>
          <w:p w14:paraId="6112BB2A" w14:textId="77777777" w:rsidR="000D1D20" w:rsidRDefault="000D1D20" w:rsidP="001355DB">
            <w:pPr>
              <w:pStyle w:val="TableText"/>
            </w:pPr>
            <w:r>
              <w:t>x</w:t>
            </w:r>
          </w:p>
        </w:tc>
        <w:tc>
          <w:tcPr>
            <w:tcW w:w="0" w:type="dxa"/>
          </w:tcPr>
          <w:p w14:paraId="26A32E8C" w14:textId="77777777" w:rsidR="000D1D20" w:rsidRDefault="000D1D20" w:rsidP="001355DB">
            <w:pPr>
              <w:pStyle w:val="TableText"/>
            </w:pPr>
          </w:p>
        </w:tc>
        <w:tc>
          <w:tcPr>
            <w:tcW w:w="0" w:type="dxa"/>
          </w:tcPr>
          <w:p w14:paraId="5D3D871A" w14:textId="77777777" w:rsidR="000D1D20" w:rsidRDefault="000D1D20" w:rsidP="001355DB">
            <w:pPr>
              <w:pStyle w:val="TableText"/>
            </w:pPr>
          </w:p>
        </w:tc>
      </w:tr>
      <w:tr w:rsidR="000D1D20" w14:paraId="39FE5199" w14:textId="77777777" w:rsidTr="001355DB">
        <w:trPr>
          <w:trHeight w:val="300"/>
        </w:trPr>
        <w:tc>
          <w:tcPr>
            <w:tcW w:w="0" w:type="dxa"/>
            <w:vAlign w:val="center"/>
          </w:tcPr>
          <w:p w14:paraId="47E5BFAA" w14:textId="77777777" w:rsidR="000D1D20" w:rsidRDefault="000D1D20" w:rsidP="001355DB">
            <w:pPr>
              <w:pStyle w:val="TableText"/>
            </w:pPr>
            <w:r w:rsidRPr="000856DF">
              <w:t>Demolition / removal / relocation of asset from inside hazard area (PMR2)</w:t>
            </w:r>
          </w:p>
        </w:tc>
        <w:tc>
          <w:tcPr>
            <w:tcW w:w="0" w:type="dxa"/>
            <w:vAlign w:val="center"/>
          </w:tcPr>
          <w:p w14:paraId="53F6BF5D" w14:textId="77777777" w:rsidR="000D1D20" w:rsidRDefault="000D1D20" w:rsidP="00FF5CBF">
            <w:pPr>
              <w:pStyle w:val="ListBullet0"/>
              <w:numPr>
                <w:ilvl w:val="0"/>
                <w:numId w:val="56"/>
              </w:numPr>
              <w:spacing w:beforeLines="40" w:before="96" w:afterLines="40" w:after="96" w:line="240" w:lineRule="auto"/>
            </w:pPr>
            <w:r>
              <w:t>Preparation of Asset Management Plan</w:t>
            </w:r>
          </w:p>
          <w:p w14:paraId="3C182E20" w14:textId="77777777" w:rsidR="000D1D20" w:rsidRDefault="000D1D20" w:rsidP="00FF5CBF">
            <w:pPr>
              <w:pStyle w:val="ListBullet0"/>
              <w:numPr>
                <w:ilvl w:val="0"/>
                <w:numId w:val="56"/>
              </w:numPr>
              <w:spacing w:beforeLines="40" w:before="96" w:afterLines="40" w:after="96" w:line="240" w:lineRule="auto"/>
            </w:pPr>
            <w:r>
              <w:t>To 2047 for public-built assets</w:t>
            </w:r>
          </w:p>
          <w:p w14:paraId="06AE4537" w14:textId="77777777" w:rsidR="000D1D20" w:rsidRDefault="000D1D20" w:rsidP="00FF5CBF">
            <w:pPr>
              <w:pStyle w:val="ListBullet0"/>
              <w:numPr>
                <w:ilvl w:val="0"/>
                <w:numId w:val="56"/>
              </w:numPr>
              <w:spacing w:beforeLines="40" w:before="96" w:afterLines="40" w:after="96" w:line="240" w:lineRule="auto"/>
            </w:pPr>
            <w:r>
              <w:t>Maintenance assumes ongoing allowance for foreshore reserve</w:t>
            </w:r>
          </w:p>
          <w:p w14:paraId="66A1FC4F" w14:textId="77777777" w:rsidR="000D1D20" w:rsidRDefault="000D1D20" w:rsidP="00FF5CBF">
            <w:pPr>
              <w:pStyle w:val="ListBullet0"/>
              <w:numPr>
                <w:ilvl w:val="0"/>
                <w:numId w:val="56"/>
              </w:numPr>
              <w:spacing w:beforeLines="40" w:before="96" w:afterLines="40" w:after="96" w:line="240" w:lineRule="auto"/>
            </w:pPr>
            <w:r>
              <w:t>Removal / Relocation of assets as required</w:t>
            </w:r>
          </w:p>
        </w:tc>
        <w:tc>
          <w:tcPr>
            <w:tcW w:w="0" w:type="dxa"/>
          </w:tcPr>
          <w:p w14:paraId="6F595EC7" w14:textId="77777777" w:rsidR="000D1D20" w:rsidRDefault="000D1D20" w:rsidP="00FF5CBF">
            <w:pPr>
              <w:pStyle w:val="ListBullet0"/>
              <w:numPr>
                <w:ilvl w:val="0"/>
                <w:numId w:val="56"/>
              </w:numPr>
              <w:spacing w:beforeLines="40" w:before="96" w:afterLines="40" w:after="96" w:line="240" w:lineRule="auto"/>
            </w:pPr>
            <w:r>
              <w:t>LGA</w:t>
            </w:r>
          </w:p>
        </w:tc>
        <w:tc>
          <w:tcPr>
            <w:tcW w:w="0" w:type="dxa"/>
          </w:tcPr>
          <w:p w14:paraId="5295F0B4" w14:textId="77777777" w:rsidR="000D1D20" w:rsidRPr="00F77FB5" w:rsidRDefault="000D1D20" w:rsidP="00FF5CBF">
            <w:pPr>
              <w:pStyle w:val="ListBullet0"/>
              <w:numPr>
                <w:ilvl w:val="0"/>
                <w:numId w:val="56"/>
              </w:numPr>
              <w:spacing w:beforeLines="40" w:before="96" w:afterLines="40" w:after="96" w:line="240" w:lineRule="auto"/>
            </w:pPr>
            <w:r>
              <w:t>Audit of assets within 2047 erosion and inundation hazard zone and identification of assets where damage would be unacceptable</w:t>
            </w:r>
          </w:p>
        </w:tc>
        <w:tc>
          <w:tcPr>
            <w:tcW w:w="0" w:type="dxa"/>
          </w:tcPr>
          <w:p w14:paraId="5D3FFF55" w14:textId="77777777" w:rsidR="000D1D20" w:rsidRPr="00F77FB5" w:rsidRDefault="000D1D20" w:rsidP="00FF5CBF">
            <w:pPr>
              <w:pStyle w:val="ListBullet0"/>
              <w:numPr>
                <w:ilvl w:val="0"/>
                <w:numId w:val="56"/>
              </w:numPr>
              <w:spacing w:beforeLines="40" w:before="96" w:afterLines="40" w:after="96" w:line="240" w:lineRule="auto"/>
              <w:jc w:val="left"/>
            </w:pPr>
            <w:r>
              <w:t>$1,600,000</w:t>
            </w:r>
          </w:p>
          <w:p w14:paraId="7B3346D4" w14:textId="77777777" w:rsidR="000D1D20" w:rsidRPr="00F77FB5" w:rsidRDefault="000D1D20" w:rsidP="00FF5CBF">
            <w:pPr>
              <w:pStyle w:val="ListBullet0"/>
              <w:numPr>
                <w:ilvl w:val="0"/>
                <w:numId w:val="56"/>
              </w:numPr>
              <w:spacing w:beforeLines="40" w:before="96" w:afterLines="40" w:after="96" w:line="240" w:lineRule="auto"/>
              <w:jc w:val="left"/>
            </w:pPr>
            <w:r>
              <w:t>(Plus 1% annual maintenance of $16,000)</w:t>
            </w:r>
          </w:p>
        </w:tc>
        <w:tc>
          <w:tcPr>
            <w:tcW w:w="1680" w:type="dxa"/>
          </w:tcPr>
          <w:p w14:paraId="793122E1" w14:textId="77777777" w:rsidR="000D1D20" w:rsidRDefault="000D1D20" w:rsidP="00FF5CBF">
            <w:pPr>
              <w:pStyle w:val="ListBullet0"/>
              <w:numPr>
                <w:ilvl w:val="0"/>
                <w:numId w:val="56"/>
              </w:numPr>
              <w:spacing w:beforeLines="40" w:before="96" w:afterLines="40" w:after="96" w:line="240" w:lineRule="auto"/>
            </w:pPr>
            <w:r>
              <w:t>Operational</w:t>
            </w:r>
          </w:p>
          <w:p w14:paraId="6D141948" w14:textId="77777777" w:rsidR="000D1D20" w:rsidRDefault="000D1D20" w:rsidP="00FF5CBF">
            <w:pPr>
              <w:pStyle w:val="ListBullet0"/>
              <w:numPr>
                <w:ilvl w:val="0"/>
                <w:numId w:val="56"/>
              </w:numPr>
              <w:spacing w:beforeLines="40" w:before="96" w:afterLines="40" w:after="96" w:line="240" w:lineRule="auto"/>
            </w:pPr>
            <w:r>
              <w:t>Grants</w:t>
            </w:r>
          </w:p>
        </w:tc>
        <w:tc>
          <w:tcPr>
            <w:tcW w:w="784" w:type="dxa"/>
          </w:tcPr>
          <w:p w14:paraId="371ACFA0" w14:textId="77777777" w:rsidR="000D1D20" w:rsidRDefault="000D1D20" w:rsidP="001355DB">
            <w:pPr>
              <w:pStyle w:val="TableText"/>
            </w:pPr>
            <w:r>
              <w:t>x</w:t>
            </w:r>
          </w:p>
        </w:tc>
        <w:tc>
          <w:tcPr>
            <w:tcW w:w="0" w:type="dxa"/>
          </w:tcPr>
          <w:p w14:paraId="1A9BF954" w14:textId="77777777" w:rsidR="000D1D20" w:rsidRDefault="000D1D20" w:rsidP="001355DB">
            <w:pPr>
              <w:pStyle w:val="TableText"/>
            </w:pPr>
            <w:r>
              <w:t>x</w:t>
            </w:r>
          </w:p>
        </w:tc>
        <w:tc>
          <w:tcPr>
            <w:tcW w:w="0" w:type="dxa"/>
          </w:tcPr>
          <w:p w14:paraId="6CB8DAF0" w14:textId="77777777" w:rsidR="000D1D20" w:rsidRDefault="000D1D20" w:rsidP="001355DB">
            <w:pPr>
              <w:pStyle w:val="TableText"/>
            </w:pPr>
            <w:r>
              <w:t>x</w:t>
            </w:r>
          </w:p>
        </w:tc>
        <w:tc>
          <w:tcPr>
            <w:tcW w:w="0" w:type="dxa"/>
          </w:tcPr>
          <w:p w14:paraId="0AB417B6" w14:textId="77777777" w:rsidR="000D1D20" w:rsidRDefault="000D1D20" w:rsidP="001355DB">
            <w:pPr>
              <w:pStyle w:val="TableText"/>
            </w:pPr>
          </w:p>
        </w:tc>
      </w:tr>
      <w:tr w:rsidR="000D1D20" w14:paraId="05DB6481" w14:textId="77777777" w:rsidTr="001355DB">
        <w:trPr>
          <w:trHeight w:val="300"/>
        </w:trPr>
        <w:tc>
          <w:tcPr>
            <w:tcW w:w="0" w:type="dxa"/>
            <w:vAlign w:val="center"/>
          </w:tcPr>
          <w:p w14:paraId="6C8D2210" w14:textId="77777777" w:rsidR="000D1D20" w:rsidRDefault="000D1D20" w:rsidP="001355DB">
            <w:pPr>
              <w:pStyle w:val="TableText"/>
            </w:pPr>
            <w:r w:rsidRPr="000856DF">
              <w:t>Prevention of further development / prohibit expansion of existing use rights (PMR3)</w:t>
            </w:r>
          </w:p>
        </w:tc>
        <w:tc>
          <w:tcPr>
            <w:tcW w:w="0" w:type="dxa"/>
            <w:vAlign w:val="center"/>
          </w:tcPr>
          <w:p w14:paraId="7D60A496" w14:textId="77777777" w:rsidR="000D1D20" w:rsidRDefault="000D1D20" w:rsidP="00FF5CBF">
            <w:pPr>
              <w:pStyle w:val="ListBullet0"/>
              <w:numPr>
                <w:ilvl w:val="0"/>
                <w:numId w:val="56"/>
              </w:numPr>
              <w:spacing w:beforeLines="40" w:before="96" w:afterLines="40" w:after="96" w:line="240" w:lineRule="auto"/>
            </w:pPr>
            <w:r>
              <w:t>Item cost for investigations and management plans</w:t>
            </w:r>
          </w:p>
          <w:p w14:paraId="7F971A88" w14:textId="77777777" w:rsidR="000D1D20" w:rsidRDefault="000D1D20" w:rsidP="00FF5CBF">
            <w:pPr>
              <w:pStyle w:val="ListBullet0"/>
              <w:numPr>
                <w:ilvl w:val="0"/>
                <w:numId w:val="56"/>
              </w:numPr>
              <w:spacing w:beforeLines="40" w:before="96" w:afterLines="40" w:after="96" w:line="240" w:lineRule="auto"/>
            </w:pPr>
            <w:r>
              <w:t>Investigate opportunities for leaseback of land and land swaps in the context of planned and managed retreat. Seek legal advice regarding the basis of agreements with landholders and whether opt-ins can be time constrained</w:t>
            </w:r>
          </w:p>
        </w:tc>
        <w:tc>
          <w:tcPr>
            <w:tcW w:w="0" w:type="dxa"/>
          </w:tcPr>
          <w:p w14:paraId="62E1BFFA" w14:textId="77777777" w:rsidR="000D1D20" w:rsidRDefault="000D1D20" w:rsidP="00FF5CBF">
            <w:pPr>
              <w:pStyle w:val="ListBullet0"/>
              <w:numPr>
                <w:ilvl w:val="0"/>
                <w:numId w:val="56"/>
              </w:numPr>
              <w:spacing w:beforeLines="40" w:before="96" w:afterLines="40" w:after="96" w:line="240" w:lineRule="auto"/>
            </w:pPr>
            <w:r>
              <w:t>LGA</w:t>
            </w:r>
          </w:p>
        </w:tc>
        <w:tc>
          <w:tcPr>
            <w:tcW w:w="0" w:type="dxa"/>
          </w:tcPr>
          <w:p w14:paraId="098EBB4E" w14:textId="77777777" w:rsidR="000D1D20" w:rsidRDefault="000D1D20" w:rsidP="00FF5CBF">
            <w:pPr>
              <w:pStyle w:val="ListBullet0"/>
              <w:numPr>
                <w:ilvl w:val="0"/>
                <w:numId w:val="56"/>
              </w:numPr>
              <w:spacing w:beforeLines="40" w:before="96" w:afterLines="40" w:after="96" w:line="240" w:lineRule="auto"/>
            </w:pPr>
            <w:r>
              <w:t>Completed CHRMAP</w:t>
            </w:r>
          </w:p>
        </w:tc>
        <w:tc>
          <w:tcPr>
            <w:tcW w:w="0" w:type="dxa"/>
          </w:tcPr>
          <w:p w14:paraId="43B45EE0" w14:textId="77777777" w:rsidR="000D1D20" w:rsidRDefault="000D1D20" w:rsidP="00FF5CBF">
            <w:pPr>
              <w:pStyle w:val="ListBullet0"/>
              <w:numPr>
                <w:ilvl w:val="0"/>
                <w:numId w:val="56"/>
              </w:numPr>
              <w:spacing w:beforeLines="40" w:before="96" w:afterLines="40" w:after="96" w:line="240" w:lineRule="auto"/>
              <w:jc w:val="left"/>
            </w:pPr>
            <w:r>
              <w:t>$30,000</w:t>
            </w:r>
          </w:p>
          <w:p w14:paraId="79A89269" w14:textId="77777777" w:rsidR="000D1D20" w:rsidRDefault="000D1D20" w:rsidP="00FF5CBF">
            <w:pPr>
              <w:pStyle w:val="ListBullet0"/>
              <w:numPr>
                <w:ilvl w:val="0"/>
                <w:numId w:val="56"/>
              </w:numPr>
              <w:spacing w:beforeLines="40" w:before="96" w:afterLines="40" w:after="96" w:line="240" w:lineRule="auto"/>
              <w:jc w:val="left"/>
            </w:pPr>
            <w:r>
              <w:t>(Plus 1% annual maintenance of $300)</w:t>
            </w:r>
          </w:p>
        </w:tc>
        <w:tc>
          <w:tcPr>
            <w:tcW w:w="1680" w:type="dxa"/>
          </w:tcPr>
          <w:p w14:paraId="5305BA95" w14:textId="77777777" w:rsidR="000D1D20" w:rsidRDefault="000D1D20" w:rsidP="00FF5CBF">
            <w:pPr>
              <w:pStyle w:val="ListBullet0"/>
              <w:numPr>
                <w:ilvl w:val="0"/>
                <w:numId w:val="56"/>
              </w:numPr>
              <w:spacing w:beforeLines="40" w:before="96" w:afterLines="40" w:after="96" w:line="240" w:lineRule="auto"/>
            </w:pPr>
            <w:r>
              <w:t>Operational</w:t>
            </w:r>
          </w:p>
          <w:p w14:paraId="1DD3CA76" w14:textId="77777777" w:rsidR="000D1D20" w:rsidRDefault="000D1D20" w:rsidP="00FF5CBF">
            <w:pPr>
              <w:pStyle w:val="ListBullet0"/>
              <w:numPr>
                <w:ilvl w:val="0"/>
                <w:numId w:val="56"/>
              </w:numPr>
              <w:spacing w:beforeLines="40" w:before="96" w:afterLines="40" w:after="96" w:line="240" w:lineRule="auto"/>
            </w:pPr>
            <w:r>
              <w:t>Grants (e.g. CMPAP)</w:t>
            </w:r>
          </w:p>
        </w:tc>
        <w:tc>
          <w:tcPr>
            <w:tcW w:w="784" w:type="dxa"/>
          </w:tcPr>
          <w:p w14:paraId="610ACCA9" w14:textId="77777777" w:rsidR="000D1D20" w:rsidRDefault="000D1D20" w:rsidP="001355DB">
            <w:pPr>
              <w:pStyle w:val="TableText"/>
            </w:pPr>
            <w:r>
              <w:t>x</w:t>
            </w:r>
          </w:p>
        </w:tc>
        <w:tc>
          <w:tcPr>
            <w:tcW w:w="0" w:type="dxa"/>
          </w:tcPr>
          <w:p w14:paraId="765A4748" w14:textId="77777777" w:rsidR="000D1D20" w:rsidRDefault="000D1D20" w:rsidP="001355DB">
            <w:pPr>
              <w:pStyle w:val="TableText"/>
            </w:pPr>
            <w:r>
              <w:t>x</w:t>
            </w:r>
          </w:p>
        </w:tc>
        <w:tc>
          <w:tcPr>
            <w:tcW w:w="0" w:type="dxa"/>
          </w:tcPr>
          <w:p w14:paraId="006D97D6" w14:textId="77777777" w:rsidR="000D1D20" w:rsidRDefault="000D1D20" w:rsidP="001355DB">
            <w:pPr>
              <w:pStyle w:val="TableText"/>
            </w:pPr>
          </w:p>
        </w:tc>
        <w:tc>
          <w:tcPr>
            <w:tcW w:w="0" w:type="dxa"/>
          </w:tcPr>
          <w:p w14:paraId="076697D4" w14:textId="77777777" w:rsidR="000D1D20" w:rsidRDefault="000D1D20" w:rsidP="001355DB">
            <w:pPr>
              <w:pStyle w:val="TableText"/>
            </w:pPr>
          </w:p>
        </w:tc>
      </w:tr>
      <w:tr w:rsidR="000D1D20" w14:paraId="25311EC6" w14:textId="77777777" w:rsidTr="001355DB">
        <w:trPr>
          <w:trHeight w:val="300"/>
        </w:trPr>
        <w:tc>
          <w:tcPr>
            <w:tcW w:w="0" w:type="dxa"/>
            <w:vAlign w:val="center"/>
          </w:tcPr>
          <w:p w14:paraId="4CAB6897" w14:textId="77777777" w:rsidR="000D1D20" w:rsidRDefault="000D1D20" w:rsidP="001355DB">
            <w:pPr>
              <w:pStyle w:val="TableText"/>
            </w:pPr>
            <w:r w:rsidRPr="000856DF">
              <w:t>Design assets to withstand impacts (AC1)</w:t>
            </w:r>
          </w:p>
        </w:tc>
        <w:tc>
          <w:tcPr>
            <w:tcW w:w="0" w:type="dxa"/>
            <w:vAlign w:val="center"/>
          </w:tcPr>
          <w:p w14:paraId="66D84221" w14:textId="77777777" w:rsidR="000D1D20" w:rsidRDefault="000D1D20" w:rsidP="00FF5CBF">
            <w:pPr>
              <w:pStyle w:val="ListBullet0"/>
              <w:numPr>
                <w:ilvl w:val="0"/>
                <w:numId w:val="56"/>
              </w:numPr>
              <w:spacing w:beforeLines="40" w:before="96" w:afterLines="40" w:after="96" w:line="240" w:lineRule="auto"/>
            </w:pPr>
            <w:r>
              <w:t>Item cost for investigations and management plans – primarily any case-by-case work needed for public assets</w:t>
            </w:r>
          </w:p>
        </w:tc>
        <w:tc>
          <w:tcPr>
            <w:tcW w:w="0" w:type="dxa"/>
          </w:tcPr>
          <w:p w14:paraId="116DE946" w14:textId="77777777" w:rsidR="000D1D20" w:rsidRDefault="000D1D20" w:rsidP="00FF5CBF">
            <w:pPr>
              <w:pStyle w:val="ListBullet0"/>
              <w:numPr>
                <w:ilvl w:val="0"/>
                <w:numId w:val="56"/>
              </w:numPr>
              <w:spacing w:beforeLines="40" w:before="96" w:afterLines="40" w:after="96" w:line="240" w:lineRule="auto"/>
            </w:pPr>
            <w:r>
              <w:t>LGA</w:t>
            </w:r>
          </w:p>
        </w:tc>
        <w:tc>
          <w:tcPr>
            <w:tcW w:w="0" w:type="dxa"/>
          </w:tcPr>
          <w:p w14:paraId="409ACA84" w14:textId="77777777" w:rsidR="000D1D20" w:rsidRDefault="000D1D20" w:rsidP="00FF5CBF">
            <w:pPr>
              <w:pStyle w:val="ListBullet0"/>
              <w:numPr>
                <w:ilvl w:val="0"/>
                <w:numId w:val="56"/>
              </w:numPr>
              <w:spacing w:beforeLines="40" w:before="96" w:afterLines="40" w:after="96" w:line="240" w:lineRule="auto"/>
            </w:pPr>
            <w:r>
              <w:t>Completed CHRMAP</w:t>
            </w:r>
          </w:p>
        </w:tc>
        <w:tc>
          <w:tcPr>
            <w:tcW w:w="0" w:type="dxa"/>
          </w:tcPr>
          <w:p w14:paraId="0D580A9D" w14:textId="77777777" w:rsidR="000D1D20" w:rsidRDefault="000D1D20" w:rsidP="00FF5CBF">
            <w:pPr>
              <w:pStyle w:val="ListBullet0"/>
              <w:numPr>
                <w:ilvl w:val="0"/>
                <w:numId w:val="56"/>
              </w:numPr>
              <w:spacing w:beforeLines="40" w:before="96" w:afterLines="40" w:after="96" w:line="240" w:lineRule="auto"/>
              <w:jc w:val="left"/>
            </w:pPr>
            <w:r>
              <w:t>$100,000</w:t>
            </w:r>
          </w:p>
          <w:p w14:paraId="059BE8A7" w14:textId="77777777" w:rsidR="000D1D20" w:rsidRDefault="000D1D20" w:rsidP="00FF5CBF">
            <w:pPr>
              <w:pStyle w:val="ListBullet0"/>
              <w:numPr>
                <w:ilvl w:val="0"/>
                <w:numId w:val="56"/>
              </w:numPr>
              <w:spacing w:beforeLines="40" w:before="96" w:afterLines="40" w:after="96" w:line="240" w:lineRule="auto"/>
              <w:jc w:val="left"/>
            </w:pPr>
            <w:r>
              <w:t>(Plus 1% annual maintenance of $1,000)</w:t>
            </w:r>
          </w:p>
        </w:tc>
        <w:tc>
          <w:tcPr>
            <w:tcW w:w="1680" w:type="dxa"/>
          </w:tcPr>
          <w:p w14:paraId="49390A50" w14:textId="77777777" w:rsidR="000D1D20" w:rsidRDefault="000D1D20" w:rsidP="00FF5CBF">
            <w:pPr>
              <w:pStyle w:val="ListBullet0"/>
              <w:numPr>
                <w:ilvl w:val="0"/>
                <w:numId w:val="56"/>
              </w:numPr>
              <w:spacing w:beforeLines="40" w:before="96" w:afterLines="40" w:after="96" w:line="240" w:lineRule="auto"/>
            </w:pPr>
            <w:r>
              <w:t>Operational</w:t>
            </w:r>
          </w:p>
          <w:p w14:paraId="2C4D6905" w14:textId="77777777" w:rsidR="000D1D20" w:rsidRDefault="000D1D20" w:rsidP="00FF5CBF">
            <w:pPr>
              <w:pStyle w:val="ListBullet0"/>
              <w:numPr>
                <w:ilvl w:val="0"/>
                <w:numId w:val="56"/>
              </w:numPr>
              <w:spacing w:beforeLines="40" w:before="96" w:afterLines="40" w:after="96" w:line="240" w:lineRule="auto"/>
            </w:pPr>
            <w:r>
              <w:t>Grants</w:t>
            </w:r>
          </w:p>
        </w:tc>
        <w:tc>
          <w:tcPr>
            <w:tcW w:w="784" w:type="dxa"/>
          </w:tcPr>
          <w:p w14:paraId="30C2A302" w14:textId="77777777" w:rsidR="000D1D20" w:rsidRDefault="000D1D20" w:rsidP="001355DB">
            <w:pPr>
              <w:pStyle w:val="TableText"/>
            </w:pPr>
            <w:r>
              <w:t>x</w:t>
            </w:r>
          </w:p>
        </w:tc>
        <w:tc>
          <w:tcPr>
            <w:tcW w:w="0" w:type="dxa"/>
          </w:tcPr>
          <w:p w14:paraId="35F4546D" w14:textId="77777777" w:rsidR="000D1D20" w:rsidRDefault="000D1D20" w:rsidP="001355DB">
            <w:pPr>
              <w:pStyle w:val="TableText"/>
            </w:pPr>
            <w:r>
              <w:t>x</w:t>
            </w:r>
          </w:p>
        </w:tc>
        <w:tc>
          <w:tcPr>
            <w:tcW w:w="0" w:type="dxa"/>
          </w:tcPr>
          <w:p w14:paraId="7957A51F" w14:textId="77777777" w:rsidR="000D1D20" w:rsidRDefault="000D1D20" w:rsidP="001355DB">
            <w:pPr>
              <w:pStyle w:val="TableText"/>
            </w:pPr>
          </w:p>
        </w:tc>
        <w:tc>
          <w:tcPr>
            <w:tcW w:w="0" w:type="dxa"/>
          </w:tcPr>
          <w:p w14:paraId="32669A10" w14:textId="77777777" w:rsidR="000D1D20" w:rsidRDefault="000D1D20" w:rsidP="001355DB">
            <w:pPr>
              <w:pStyle w:val="TableText"/>
            </w:pPr>
          </w:p>
        </w:tc>
      </w:tr>
      <w:tr w:rsidR="000D1D20" w14:paraId="59593A9C" w14:textId="77777777" w:rsidTr="001355DB">
        <w:trPr>
          <w:trHeight w:val="300"/>
        </w:trPr>
        <w:tc>
          <w:tcPr>
            <w:tcW w:w="0" w:type="dxa"/>
          </w:tcPr>
          <w:p w14:paraId="687645EE" w14:textId="77777777" w:rsidR="000D1D20" w:rsidRPr="002C35A2" w:rsidRDefault="000D1D20" w:rsidP="001355DB">
            <w:pPr>
              <w:pStyle w:val="TableText"/>
              <w:rPr>
                <w:b/>
                <w:bCs/>
              </w:rPr>
            </w:pPr>
            <w:r w:rsidRPr="009B3BA2">
              <w:rPr>
                <w:b/>
                <w:bCs/>
              </w:rPr>
              <w:lastRenderedPageBreak/>
              <w:t>Recommended Short-Term Option to address Erosion is to investigate and prepare for Protection with Beach Nourishment (PR1)</w:t>
            </w:r>
          </w:p>
        </w:tc>
        <w:tc>
          <w:tcPr>
            <w:tcW w:w="0" w:type="dxa"/>
          </w:tcPr>
          <w:p w14:paraId="1C65978D" w14:textId="77777777" w:rsidR="000D1D20" w:rsidRDefault="000D1D20" w:rsidP="00FF5CBF">
            <w:pPr>
              <w:pStyle w:val="ListBullet0"/>
              <w:numPr>
                <w:ilvl w:val="0"/>
                <w:numId w:val="55"/>
              </w:numPr>
              <w:spacing w:beforeLines="40" w:before="96" w:afterLines="40" w:after="96" w:line="240" w:lineRule="auto"/>
            </w:pPr>
            <w:r>
              <w:t>Undertake a detailed Sand Source Feasibility Study (Investigation 1) to confirm assumptions used in the CHRMAP</w:t>
            </w:r>
          </w:p>
          <w:p w14:paraId="0073B8C5" w14:textId="77777777" w:rsidR="000D1D20" w:rsidRDefault="000D1D20" w:rsidP="00FF5CBF">
            <w:pPr>
              <w:pStyle w:val="ListBullet0"/>
              <w:numPr>
                <w:ilvl w:val="0"/>
                <w:numId w:val="55"/>
              </w:numPr>
              <w:spacing w:beforeLines="40" w:before="96" w:afterLines="40" w:after="96" w:line="240" w:lineRule="auto"/>
            </w:pPr>
            <w:r>
              <w:t>CHRMAP analysis has found that the Protection Pathway is appropriate for this MU with provision of a sandy beach via nourishment</w:t>
            </w:r>
          </w:p>
          <w:p w14:paraId="7284080C" w14:textId="77777777" w:rsidR="000D1D20" w:rsidRDefault="000D1D20" w:rsidP="00FF5CBF">
            <w:pPr>
              <w:pStyle w:val="ListBullet0"/>
              <w:numPr>
                <w:ilvl w:val="0"/>
                <w:numId w:val="55"/>
              </w:numPr>
              <w:spacing w:beforeLines="40" w:before="96" w:afterLines="40" w:after="96" w:line="240" w:lineRule="auto"/>
            </w:pPr>
            <w:r>
              <w:t>Currently the option assumes the following:</w:t>
            </w:r>
          </w:p>
          <w:p w14:paraId="4E35B430" w14:textId="77777777" w:rsidR="000D1D20" w:rsidRDefault="000D1D20" w:rsidP="00FF5CBF">
            <w:pPr>
              <w:pStyle w:val="ListBullet0"/>
              <w:numPr>
                <w:ilvl w:val="0"/>
                <w:numId w:val="55"/>
              </w:numPr>
              <w:spacing w:beforeLines="40" w:before="96" w:afterLines="40" w:after="96" w:line="240" w:lineRule="auto"/>
            </w:pPr>
            <w:r>
              <w:t>7000m of shoreline treated (the whole length of the MU).</w:t>
            </w:r>
          </w:p>
          <w:p w14:paraId="7D4E762B" w14:textId="77777777" w:rsidR="000D1D20" w:rsidRDefault="000D1D20" w:rsidP="00FF5CBF">
            <w:pPr>
              <w:pStyle w:val="ListBullet0"/>
              <w:numPr>
                <w:ilvl w:val="0"/>
                <w:numId w:val="55"/>
              </w:numPr>
              <w:spacing w:beforeLines="40" w:before="96" w:afterLines="40" w:after="96" w:line="240" w:lineRule="auto"/>
            </w:pPr>
            <w:r>
              <w:t>Suitable sand source available (grain size, volume, cleanliness, proximity).</w:t>
            </w:r>
          </w:p>
          <w:p w14:paraId="46183C91" w14:textId="77777777" w:rsidR="000D1D20" w:rsidRDefault="000D1D20" w:rsidP="00FF5CBF">
            <w:pPr>
              <w:pStyle w:val="ListBullet0"/>
              <w:numPr>
                <w:ilvl w:val="0"/>
                <w:numId w:val="55"/>
              </w:numPr>
              <w:spacing w:beforeLines="40" w:before="96" w:afterLines="40" w:after="96" w:line="240" w:lineRule="auto"/>
            </w:pPr>
            <w:r>
              <w:t>Present day implementation</w:t>
            </w:r>
          </w:p>
          <w:p w14:paraId="2AD864B6" w14:textId="6520CC58" w:rsidR="000D1D20" w:rsidRDefault="000D1D20" w:rsidP="00FF5CBF">
            <w:pPr>
              <w:pStyle w:val="ListBullet0"/>
              <w:numPr>
                <w:ilvl w:val="0"/>
                <w:numId w:val="55"/>
              </w:numPr>
              <w:spacing w:beforeLines="40" w:before="96" w:afterLines="40" w:after="96" w:line="240" w:lineRule="auto"/>
            </w:pPr>
            <w:r>
              <w:t xml:space="preserve">It is noted the old Woolstores Site is subject to localised development plans including consideration of coastal hazards and is likely to become a prioritised sub-section of this MU as discussed in Section </w:t>
            </w:r>
            <w:r w:rsidR="00EE3192">
              <w:fldChar w:fldCharType="begin"/>
            </w:r>
            <w:r w:rsidR="00EE3192">
              <w:instrText xml:space="preserve"> REF _Ref161826442 \n \h </w:instrText>
            </w:r>
            <w:r w:rsidR="00EE3192">
              <w:fldChar w:fldCharType="separate"/>
            </w:r>
            <w:r w:rsidR="00EE3192">
              <w:t>8.6.2</w:t>
            </w:r>
            <w:r w:rsidR="00EE3192">
              <w:fldChar w:fldCharType="end"/>
            </w:r>
            <w:r>
              <w:t>.</w:t>
            </w:r>
          </w:p>
        </w:tc>
        <w:tc>
          <w:tcPr>
            <w:tcW w:w="0" w:type="dxa"/>
          </w:tcPr>
          <w:p w14:paraId="4A9C7262" w14:textId="77777777" w:rsidR="000D1D20" w:rsidRDefault="000D1D20" w:rsidP="00FF5CBF">
            <w:pPr>
              <w:pStyle w:val="ListBullet0"/>
              <w:numPr>
                <w:ilvl w:val="0"/>
                <w:numId w:val="55"/>
              </w:numPr>
              <w:spacing w:beforeLines="40" w:before="96" w:afterLines="40" w:after="96" w:line="240" w:lineRule="auto"/>
            </w:pPr>
            <w:r>
              <w:t>LGA</w:t>
            </w:r>
          </w:p>
        </w:tc>
        <w:tc>
          <w:tcPr>
            <w:tcW w:w="0" w:type="dxa"/>
          </w:tcPr>
          <w:p w14:paraId="6EDCF264" w14:textId="77777777" w:rsidR="000D1D20" w:rsidRDefault="000D1D20" w:rsidP="00FF5CBF">
            <w:pPr>
              <w:pStyle w:val="ListBullet0"/>
              <w:numPr>
                <w:ilvl w:val="0"/>
                <w:numId w:val="55"/>
              </w:numPr>
              <w:spacing w:beforeLines="40" w:before="96" w:afterLines="40" w:after="96" w:line="240" w:lineRule="auto"/>
            </w:pPr>
            <w:r>
              <w:t>Completed CHRMAP</w:t>
            </w:r>
          </w:p>
          <w:p w14:paraId="2D4BC989" w14:textId="77777777" w:rsidR="000D1D20" w:rsidRDefault="000D1D20" w:rsidP="00FF5CBF">
            <w:pPr>
              <w:pStyle w:val="ListBullet0"/>
              <w:numPr>
                <w:ilvl w:val="0"/>
                <w:numId w:val="55"/>
              </w:numPr>
              <w:spacing w:beforeLines="40" w:before="96" w:afterLines="40" w:after="96" w:line="240" w:lineRule="auto"/>
            </w:pPr>
            <w:r>
              <w:t>Monitoring</w:t>
            </w:r>
          </w:p>
          <w:p w14:paraId="4F7F5320" w14:textId="77777777" w:rsidR="000D1D20" w:rsidRDefault="000D1D20" w:rsidP="00FF5CBF">
            <w:pPr>
              <w:pStyle w:val="ListBullet0"/>
              <w:numPr>
                <w:ilvl w:val="0"/>
                <w:numId w:val="55"/>
              </w:numPr>
              <w:spacing w:beforeLines="40" w:before="96" w:afterLines="40" w:after="96" w:line="240" w:lineRule="auto"/>
            </w:pPr>
            <w:r>
              <w:t>Confirmation of design, costs and funding</w:t>
            </w:r>
          </w:p>
        </w:tc>
        <w:tc>
          <w:tcPr>
            <w:tcW w:w="0" w:type="dxa"/>
          </w:tcPr>
          <w:p w14:paraId="62A4E1F7" w14:textId="77777777" w:rsidR="000D1D20" w:rsidRDefault="000D1D20" w:rsidP="00FF5CBF">
            <w:pPr>
              <w:pStyle w:val="ListBullet0"/>
              <w:numPr>
                <w:ilvl w:val="0"/>
                <w:numId w:val="55"/>
              </w:numPr>
              <w:spacing w:beforeLines="40" w:before="96" w:afterLines="40" w:after="96" w:line="240" w:lineRule="auto"/>
              <w:jc w:val="left"/>
            </w:pPr>
            <w:r>
              <w:t>$21.9M at NPV 4% for a 100-year timeframe</w:t>
            </w:r>
          </w:p>
        </w:tc>
        <w:tc>
          <w:tcPr>
            <w:tcW w:w="1680" w:type="dxa"/>
          </w:tcPr>
          <w:p w14:paraId="6A7DBDC9" w14:textId="77777777" w:rsidR="000D1D20" w:rsidRDefault="000D1D20" w:rsidP="00FF5CBF">
            <w:pPr>
              <w:pStyle w:val="ListBullet0"/>
              <w:numPr>
                <w:ilvl w:val="0"/>
                <w:numId w:val="55"/>
              </w:numPr>
              <w:spacing w:beforeLines="40" w:before="96" w:afterLines="40" w:after="96" w:line="240" w:lineRule="auto"/>
            </w:pPr>
            <w:r>
              <w:t>Operational</w:t>
            </w:r>
          </w:p>
          <w:p w14:paraId="74E6A7ED" w14:textId="77777777" w:rsidR="000D1D20" w:rsidRDefault="000D1D20" w:rsidP="00FF5CBF">
            <w:pPr>
              <w:pStyle w:val="ListBullet0"/>
              <w:numPr>
                <w:ilvl w:val="0"/>
                <w:numId w:val="55"/>
              </w:numPr>
              <w:spacing w:beforeLines="40" w:before="96" w:afterLines="40" w:after="96" w:line="240" w:lineRule="auto"/>
            </w:pPr>
            <w:r>
              <w:t>Grants (e.g. CAP)</w:t>
            </w:r>
          </w:p>
          <w:p w14:paraId="4FC51C1E" w14:textId="77777777" w:rsidR="000D1D20" w:rsidRDefault="000D1D20" w:rsidP="00FF5CBF">
            <w:pPr>
              <w:pStyle w:val="ListBullet0"/>
              <w:numPr>
                <w:ilvl w:val="0"/>
                <w:numId w:val="55"/>
              </w:numPr>
              <w:spacing w:beforeLines="40" w:before="96" w:afterLines="40" w:after="96" w:line="240" w:lineRule="auto"/>
            </w:pPr>
            <w:r>
              <w:t>Direct beneficiaries</w:t>
            </w:r>
          </w:p>
        </w:tc>
        <w:tc>
          <w:tcPr>
            <w:tcW w:w="784" w:type="dxa"/>
          </w:tcPr>
          <w:p w14:paraId="57D48FD3" w14:textId="77777777" w:rsidR="000D1D20" w:rsidRDefault="000D1D20" w:rsidP="001355DB">
            <w:pPr>
              <w:pStyle w:val="TableText"/>
            </w:pPr>
            <w:r>
              <w:t>x</w:t>
            </w:r>
          </w:p>
        </w:tc>
        <w:tc>
          <w:tcPr>
            <w:tcW w:w="0" w:type="dxa"/>
          </w:tcPr>
          <w:p w14:paraId="109E8532" w14:textId="77777777" w:rsidR="000D1D20" w:rsidRDefault="000D1D20" w:rsidP="001355DB">
            <w:pPr>
              <w:pStyle w:val="TableText"/>
            </w:pPr>
            <w:r>
              <w:t>x</w:t>
            </w:r>
          </w:p>
        </w:tc>
        <w:tc>
          <w:tcPr>
            <w:tcW w:w="0" w:type="dxa"/>
          </w:tcPr>
          <w:p w14:paraId="2C688617" w14:textId="77777777" w:rsidR="000D1D20" w:rsidRDefault="000D1D20" w:rsidP="001355DB">
            <w:pPr>
              <w:pStyle w:val="TableText"/>
            </w:pPr>
            <w:r>
              <w:t>x</w:t>
            </w:r>
          </w:p>
        </w:tc>
        <w:tc>
          <w:tcPr>
            <w:tcW w:w="0" w:type="dxa"/>
          </w:tcPr>
          <w:p w14:paraId="40ECD94D" w14:textId="77777777" w:rsidR="000D1D20" w:rsidRDefault="000D1D20" w:rsidP="001355DB">
            <w:pPr>
              <w:pStyle w:val="TableText"/>
            </w:pPr>
          </w:p>
        </w:tc>
      </w:tr>
      <w:tr w:rsidR="000D1D20" w14:paraId="4A0CD43B" w14:textId="77777777" w:rsidTr="001355DB">
        <w:trPr>
          <w:trHeight w:val="300"/>
        </w:trPr>
        <w:tc>
          <w:tcPr>
            <w:tcW w:w="0" w:type="dxa"/>
          </w:tcPr>
          <w:p w14:paraId="4F2A5221" w14:textId="77777777" w:rsidR="000D1D20" w:rsidRPr="002C35A2" w:rsidRDefault="000D1D20" w:rsidP="001355DB">
            <w:pPr>
              <w:pStyle w:val="TableText"/>
              <w:rPr>
                <w:b/>
                <w:bCs/>
              </w:rPr>
            </w:pPr>
            <w:r w:rsidRPr="009B3BA2">
              <w:rPr>
                <w:b/>
                <w:bCs/>
              </w:rPr>
              <w:t>Recommended Short-Term Option to address Inundation is a Levee (PR6)</w:t>
            </w:r>
          </w:p>
        </w:tc>
        <w:tc>
          <w:tcPr>
            <w:tcW w:w="0" w:type="dxa"/>
          </w:tcPr>
          <w:p w14:paraId="259DA590" w14:textId="77777777" w:rsidR="000D1D20" w:rsidRDefault="000D1D20" w:rsidP="00FF5CBF">
            <w:pPr>
              <w:pStyle w:val="ListBullet0"/>
              <w:numPr>
                <w:ilvl w:val="0"/>
                <w:numId w:val="55"/>
              </w:numPr>
              <w:spacing w:beforeLines="40" w:before="96" w:afterLines="40" w:after="96" w:line="240" w:lineRule="auto"/>
            </w:pPr>
            <w:r>
              <w:t>Assumes 3500m of levee required comprising three sections to protect the three areas most at risk of inundation. Other areas not at risk in the short-term.</w:t>
            </w:r>
          </w:p>
          <w:p w14:paraId="2BE55C88" w14:textId="77777777" w:rsidR="000D1D20" w:rsidRDefault="000D1D20" w:rsidP="00FF5CBF">
            <w:pPr>
              <w:pStyle w:val="ListBullet0"/>
              <w:numPr>
                <w:ilvl w:val="0"/>
                <w:numId w:val="55"/>
              </w:numPr>
              <w:spacing w:beforeLines="40" w:before="96" w:afterLines="40" w:after="96" w:line="240" w:lineRule="auto"/>
            </w:pPr>
            <w:r>
              <w:t>Assumes present day implementation because various asset and values vulnerable</w:t>
            </w:r>
          </w:p>
          <w:p w14:paraId="191B915E" w14:textId="77777777" w:rsidR="000D1D20" w:rsidRDefault="000D1D20" w:rsidP="00FF5CBF">
            <w:pPr>
              <w:pStyle w:val="ListBullet0"/>
              <w:numPr>
                <w:ilvl w:val="0"/>
                <w:numId w:val="55"/>
              </w:numPr>
              <w:spacing w:beforeLines="40" w:before="96" w:afterLines="40" w:after="96" w:line="240" w:lineRule="auto"/>
            </w:pPr>
            <w:r>
              <w:t>2072 Replacement cost included</w:t>
            </w:r>
          </w:p>
        </w:tc>
        <w:tc>
          <w:tcPr>
            <w:tcW w:w="0" w:type="dxa"/>
          </w:tcPr>
          <w:p w14:paraId="51A49352" w14:textId="77777777" w:rsidR="000D1D20" w:rsidRDefault="000D1D20" w:rsidP="00FF5CBF">
            <w:pPr>
              <w:pStyle w:val="ListBullet0"/>
              <w:numPr>
                <w:ilvl w:val="0"/>
                <w:numId w:val="55"/>
              </w:numPr>
              <w:spacing w:beforeLines="40" w:before="96" w:afterLines="40" w:after="96" w:line="240" w:lineRule="auto"/>
            </w:pPr>
            <w:r>
              <w:t>LGA</w:t>
            </w:r>
          </w:p>
        </w:tc>
        <w:tc>
          <w:tcPr>
            <w:tcW w:w="0" w:type="dxa"/>
          </w:tcPr>
          <w:p w14:paraId="31B49844" w14:textId="77777777" w:rsidR="000D1D20" w:rsidRDefault="000D1D20" w:rsidP="00FF5CBF">
            <w:pPr>
              <w:pStyle w:val="ListBullet0"/>
              <w:numPr>
                <w:ilvl w:val="0"/>
                <w:numId w:val="55"/>
              </w:numPr>
              <w:spacing w:beforeLines="40" w:before="96" w:afterLines="40" w:after="96" w:line="240" w:lineRule="auto"/>
            </w:pPr>
            <w:r>
              <w:t>Completed CHRMAP</w:t>
            </w:r>
          </w:p>
          <w:p w14:paraId="78423C9F" w14:textId="77777777" w:rsidR="000D1D20" w:rsidRDefault="000D1D20" w:rsidP="00FF5CBF">
            <w:pPr>
              <w:pStyle w:val="ListBullet0"/>
              <w:numPr>
                <w:ilvl w:val="0"/>
                <w:numId w:val="55"/>
              </w:numPr>
              <w:spacing w:beforeLines="40" w:before="96" w:afterLines="40" w:after="96" w:line="240" w:lineRule="auto"/>
            </w:pPr>
            <w:r>
              <w:t>Monitoring</w:t>
            </w:r>
          </w:p>
          <w:p w14:paraId="201C8A63" w14:textId="77777777" w:rsidR="000D1D20" w:rsidRDefault="000D1D20" w:rsidP="00FF5CBF">
            <w:pPr>
              <w:pStyle w:val="ListBullet0"/>
              <w:numPr>
                <w:ilvl w:val="0"/>
                <w:numId w:val="55"/>
              </w:numPr>
              <w:spacing w:beforeLines="40" w:before="96" w:afterLines="40" w:after="96" w:line="240" w:lineRule="auto"/>
            </w:pPr>
            <w:r>
              <w:t>Confirmation of design, costs and funding</w:t>
            </w:r>
          </w:p>
          <w:p w14:paraId="01F5BDBA" w14:textId="77777777" w:rsidR="000D1D20" w:rsidRDefault="000D1D20" w:rsidP="00FF5CBF">
            <w:pPr>
              <w:pStyle w:val="ListBullet0"/>
              <w:numPr>
                <w:ilvl w:val="0"/>
                <w:numId w:val="55"/>
              </w:numPr>
              <w:spacing w:beforeLines="40" w:before="96" w:afterLines="40" w:after="96" w:line="240" w:lineRule="auto"/>
            </w:pPr>
            <w:r>
              <w:t>Confirmation of SLR in accordance with projections to 2047</w:t>
            </w:r>
          </w:p>
        </w:tc>
        <w:tc>
          <w:tcPr>
            <w:tcW w:w="0" w:type="dxa"/>
          </w:tcPr>
          <w:p w14:paraId="4B7C402B" w14:textId="77777777" w:rsidR="000D1D20" w:rsidRPr="000435BB" w:rsidRDefault="000D1D20" w:rsidP="00FF5CBF">
            <w:pPr>
              <w:pStyle w:val="ListBullet0"/>
              <w:numPr>
                <w:ilvl w:val="0"/>
                <w:numId w:val="55"/>
              </w:numPr>
              <w:spacing w:beforeLines="40" w:before="96" w:afterLines="40" w:after="96" w:line="240" w:lineRule="auto"/>
              <w:jc w:val="left"/>
            </w:pPr>
            <w:r>
              <w:t>$18.8M at NPV 4% for a 100-year timeframe</w:t>
            </w:r>
          </w:p>
          <w:p w14:paraId="78B682EB" w14:textId="77777777" w:rsidR="000D1D20" w:rsidRDefault="000D1D20" w:rsidP="00FF5CBF">
            <w:pPr>
              <w:pStyle w:val="ListBullet0"/>
              <w:numPr>
                <w:ilvl w:val="0"/>
                <w:numId w:val="55"/>
              </w:numPr>
              <w:spacing w:beforeLines="40" w:before="96" w:afterLines="40" w:after="96" w:line="240" w:lineRule="auto"/>
              <w:jc w:val="left"/>
            </w:pPr>
            <w:r>
              <w:t>Detailed design and costings estimated at $200,000</w:t>
            </w:r>
          </w:p>
        </w:tc>
        <w:tc>
          <w:tcPr>
            <w:tcW w:w="1680" w:type="dxa"/>
          </w:tcPr>
          <w:p w14:paraId="0CC9654A" w14:textId="77777777" w:rsidR="000D1D20" w:rsidRDefault="000D1D20" w:rsidP="00FF5CBF">
            <w:pPr>
              <w:pStyle w:val="ListBullet0"/>
              <w:numPr>
                <w:ilvl w:val="0"/>
                <w:numId w:val="55"/>
              </w:numPr>
              <w:spacing w:beforeLines="40" w:before="96" w:afterLines="40" w:after="96" w:line="240" w:lineRule="auto"/>
            </w:pPr>
            <w:r>
              <w:t>Operational</w:t>
            </w:r>
          </w:p>
          <w:p w14:paraId="253F7B5C" w14:textId="77777777" w:rsidR="000D1D20" w:rsidRDefault="000D1D20" w:rsidP="00FF5CBF">
            <w:pPr>
              <w:pStyle w:val="ListBullet0"/>
              <w:numPr>
                <w:ilvl w:val="0"/>
                <w:numId w:val="55"/>
              </w:numPr>
              <w:spacing w:beforeLines="40" w:before="96" w:afterLines="40" w:after="96" w:line="240" w:lineRule="auto"/>
            </w:pPr>
            <w:r>
              <w:t>Grants (e.g. DRF)</w:t>
            </w:r>
          </w:p>
          <w:p w14:paraId="0F6C4A19" w14:textId="77777777" w:rsidR="000D1D20" w:rsidRDefault="000D1D20" w:rsidP="00FF5CBF">
            <w:pPr>
              <w:pStyle w:val="ListBullet0"/>
              <w:numPr>
                <w:ilvl w:val="0"/>
                <w:numId w:val="55"/>
              </w:numPr>
              <w:spacing w:beforeLines="40" w:before="96" w:afterLines="40" w:after="96" w:line="240" w:lineRule="auto"/>
            </w:pPr>
            <w:r>
              <w:t>Direct beneficiaries</w:t>
            </w:r>
          </w:p>
        </w:tc>
        <w:tc>
          <w:tcPr>
            <w:tcW w:w="784" w:type="dxa"/>
          </w:tcPr>
          <w:p w14:paraId="4863541C" w14:textId="77777777" w:rsidR="000D1D20" w:rsidRDefault="000D1D20" w:rsidP="001355DB">
            <w:pPr>
              <w:pStyle w:val="TableText"/>
            </w:pPr>
            <w:r>
              <w:t>x</w:t>
            </w:r>
          </w:p>
        </w:tc>
        <w:tc>
          <w:tcPr>
            <w:tcW w:w="0" w:type="dxa"/>
          </w:tcPr>
          <w:p w14:paraId="259E8466" w14:textId="77777777" w:rsidR="000D1D20" w:rsidRDefault="000D1D20" w:rsidP="001355DB">
            <w:pPr>
              <w:pStyle w:val="TableText"/>
            </w:pPr>
            <w:r>
              <w:t>x</w:t>
            </w:r>
          </w:p>
        </w:tc>
        <w:tc>
          <w:tcPr>
            <w:tcW w:w="0" w:type="dxa"/>
          </w:tcPr>
          <w:p w14:paraId="4D4A08CF" w14:textId="77777777" w:rsidR="000D1D20" w:rsidRDefault="000D1D20" w:rsidP="001355DB">
            <w:pPr>
              <w:pStyle w:val="TableText"/>
            </w:pPr>
            <w:r>
              <w:t>x</w:t>
            </w:r>
          </w:p>
        </w:tc>
        <w:tc>
          <w:tcPr>
            <w:tcW w:w="0" w:type="dxa"/>
          </w:tcPr>
          <w:p w14:paraId="2C40B92E" w14:textId="77777777" w:rsidR="000D1D20" w:rsidRDefault="000D1D20" w:rsidP="001355DB">
            <w:pPr>
              <w:pStyle w:val="TableText"/>
            </w:pPr>
          </w:p>
        </w:tc>
      </w:tr>
      <w:tr w:rsidR="000D1D20" w14:paraId="7E8BA764" w14:textId="77777777" w:rsidTr="001355DB">
        <w:trPr>
          <w:trHeight w:val="300"/>
        </w:trPr>
        <w:tc>
          <w:tcPr>
            <w:tcW w:w="0" w:type="dxa"/>
            <w:vAlign w:val="center"/>
          </w:tcPr>
          <w:p w14:paraId="6936AFF3" w14:textId="77777777" w:rsidR="000D1D20" w:rsidRDefault="000D1D20" w:rsidP="001355DB">
            <w:pPr>
              <w:pStyle w:val="TableText"/>
            </w:pPr>
            <w:r w:rsidRPr="000856DF">
              <w:lastRenderedPageBreak/>
              <w:t>Leaving assets unprotected (PMR1)</w:t>
            </w:r>
          </w:p>
        </w:tc>
        <w:tc>
          <w:tcPr>
            <w:tcW w:w="0" w:type="dxa"/>
            <w:vAlign w:val="center"/>
          </w:tcPr>
          <w:p w14:paraId="7208F948" w14:textId="77777777" w:rsidR="000D1D20" w:rsidRDefault="000D1D20" w:rsidP="00FF5CBF">
            <w:pPr>
              <w:pStyle w:val="ListBullet0"/>
              <w:numPr>
                <w:ilvl w:val="0"/>
                <w:numId w:val="54"/>
              </w:numPr>
              <w:spacing w:beforeLines="40" w:before="96" w:afterLines="40" w:after="96" w:line="240" w:lineRule="auto"/>
            </w:pPr>
            <w:r>
              <w:t>To 2047 for low-value public assets</w:t>
            </w:r>
          </w:p>
          <w:p w14:paraId="5D503099" w14:textId="77777777" w:rsidR="000D1D20" w:rsidRDefault="000D1D20" w:rsidP="00FF5CBF">
            <w:pPr>
              <w:pStyle w:val="ListBullet0"/>
              <w:numPr>
                <w:ilvl w:val="0"/>
                <w:numId w:val="54"/>
              </w:numPr>
              <w:spacing w:beforeLines="40" w:before="96" w:afterLines="40" w:after="96" w:line="240" w:lineRule="auto"/>
            </w:pPr>
            <w:r>
              <w:t>Assumes a clean-up rate following damage/loss</w:t>
            </w:r>
          </w:p>
          <w:p w14:paraId="686537B8" w14:textId="77777777" w:rsidR="000D1D20" w:rsidRDefault="000D1D20" w:rsidP="00FF5CBF">
            <w:pPr>
              <w:pStyle w:val="ListBullet0"/>
              <w:numPr>
                <w:ilvl w:val="0"/>
                <w:numId w:val="54"/>
              </w:numPr>
              <w:spacing w:beforeLines="40" w:before="96" w:afterLines="40" w:after="96" w:line="240" w:lineRule="auto"/>
            </w:pPr>
            <w:r>
              <w:t>No private land acquisition included</w:t>
            </w:r>
          </w:p>
          <w:p w14:paraId="0E177B64" w14:textId="77777777" w:rsidR="000D1D20" w:rsidRDefault="000D1D20" w:rsidP="00FF5CBF">
            <w:pPr>
              <w:pStyle w:val="ListBullet0"/>
              <w:numPr>
                <w:ilvl w:val="0"/>
                <w:numId w:val="54"/>
              </w:numPr>
              <w:spacing w:beforeLines="40" w:before="96" w:afterLines="40" w:after="96" w:line="240" w:lineRule="auto"/>
            </w:pPr>
            <w:r>
              <w:t>Maintenance assumes ongoing allowance for foreshore reserve</w:t>
            </w:r>
          </w:p>
        </w:tc>
        <w:tc>
          <w:tcPr>
            <w:tcW w:w="0" w:type="dxa"/>
          </w:tcPr>
          <w:p w14:paraId="35E5743C" w14:textId="77777777" w:rsidR="000D1D20" w:rsidRDefault="000D1D20" w:rsidP="00FF5CBF">
            <w:pPr>
              <w:pStyle w:val="ListBullet0"/>
              <w:numPr>
                <w:ilvl w:val="0"/>
                <w:numId w:val="54"/>
              </w:numPr>
              <w:spacing w:beforeLines="40" w:before="96" w:afterLines="40" w:after="96" w:line="240" w:lineRule="auto"/>
            </w:pPr>
            <w:r>
              <w:t>LGA</w:t>
            </w:r>
          </w:p>
        </w:tc>
        <w:tc>
          <w:tcPr>
            <w:tcW w:w="0" w:type="dxa"/>
          </w:tcPr>
          <w:p w14:paraId="3EA8F185" w14:textId="77777777" w:rsidR="000D1D20" w:rsidRPr="00F77FB5" w:rsidRDefault="000D1D20" w:rsidP="00FF5CBF">
            <w:pPr>
              <w:pStyle w:val="ListBullet0"/>
              <w:numPr>
                <w:ilvl w:val="0"/>
                <w:numId w:val="54"/>
              </w:numPr>
              <w:spacing w:beforeLines="40" w:before="96" w:afterLines="40" w:after="96" w:line="240" w:lineRule="auto"/>
            </w:pPr>
            <w:r>
              <w:t>Storm damage</w:t>
            </w:r>
          </w:p>
          <w:p w14:paraId="72465F58" w14:textId="77777777" w:rsidR="000D1D20" w:rsidRPr="00F77FB5" w:rsidRDefault="000D1D20" w:rsidP="00FF5CBF">
            <w:pPr>
              <w:pStyle w:val="ListBullet0"/>
              <w:numPr>
                <w:ilvl w:val="0"/>
                <w:numId w:val="54"/>
              </w:numPr>
              <w:spacing w:beforeLines="40" w:before="96" w:afterLines="40" w:after="96" w:line="240" w:lineRule="auto"/>
            </w:pPr>
            <w:r>
              <w:t>Audit of assets within 2047 erosion and inundation hazard zone and identification of assets where damage would be unacceptable</w:t>
            </w:r>
          </w:p>
        </w:tc>
        <w:tc>
          <w:tcPr>
            <w:tcW w:w="0" w:type="dxa"/>
          </w:tcPr>
          <w:p w14:paraId="10C49F9E" w14:textId="77777777" w:rsidR="000D1D20" w:rsidRPr="00F77FB5" w:rsidRDefault="000D1D20" w:rsidP="00FF5CBF">
            <w:pPr>
              <w:pStyle w:val="ListBullet0"/>
              <w:numPr>
                <w:ilvl w:val="0"/>
                <w:numId w:val="54"/>
              </w:numPr>
              <w:spacing w:beforeLines="40" w:before="96" w:afterLines="40" w:after="96" w:line="240" w:lineRule="auto"/>
              <w:jc w:val="left"/>
            </w:pPr>
            <w:r>
              <w:t>$711,000</w:t>
            </w:r>
          </w:p>
          <w:p w14:paraId="622C328F" w14:textId="77777777" w:rsidR="000D1D20" w:rsidRPr="00F77FB5" w:rsidRDefault="000D1D20" w:rsidP="00FF5CBF">
            <w:pPr>
              <w:pStyle w:val="ListBullet0"/>
              <w:numPr>
                <w:ilvl w:val="0"/>
                <w:numId w:val="54"/>
              </w:numPr>
              <w:spacing w:beforeLines="40" w:before="96" w:afterLines="40" w:after="96" w:line="240" w:lineRule="auto"/>
              <w:jc w:val="left"/>
            </w:pPr>
            <w:r>
              <w:t>(Plus 3% annual maintenance of $21,330)</w:t>
            </w:r>
          </w:p>
        </w:tc>
        <w:tc>
          <w:tcPr>
            <w:tcW w:w="1680" w:type="dxa"/>
          </w:tcPr>
          <w:p w14:paraId="549C80B3" w14:textId="77777777" w:rsidR="000D1D20" w:rsidRDefault="000D1D20" w:rsidP="00FF5CBF">
            <w:pPr>
              <w:pStyle w:val="ListBullet0"/>
              <w:numPr>
                <w:ilvl w:val="0"/>
                <w:numId w:val="54"/>
              </w:numPr>
              <w:spacing w:beforeLines="40" w:before="96" w:afterLines="40" w:after="96" w:line="240" w:lineRule="auto"/>
            </w:pPr>
            <w:r>
              <w:t>Operational</w:t>
            </w:r>
          </w:p>
        </w:tc>
        <w:tc>
          <w:tcPr>
            <w:tcW w:w="784" w:type="dxa"/>
          </w:tcPr>
          <w:p w14:paraId="13022A52" w14:textId="77777777" w:rsidR="000D1D20" w:rsidRDefault="000D1D20" w:rsidP="001355DB">
            <w:pPr>
              <w:pStyle w:val="TableText"/>
            </w:pPr>
            <w:r>
              <w:t>x</w:t>
            </w:r>
          </w:p>
        </w:tc>
        <w:tc>
          <w:tcPr>
            <w:tcW w:w="0" w:type="dxa"/>
          </w:tcPr>
          <w:p w14:paraId="551E56B7" w14:textId="77777777" w:rsidR="000D1D20" w:rsidRDefault="000D1D20" w:rsidP="001355DB">
            <w:pPr>
              <w:pStyle w:val="TableText"/>
            </w:pPr>
            <w:r>
              <w:t>x</w:t>
            </w:r>
          </w:p>
        </w:tc>
        <w:tc>
          <w:tcPr>
            <w:tcW w:w="0" w:type="dxa"/>
          </w:tcPr>
          <w:p w14:paraId="07F19CE6" w14:textId="77777777" w:rsidR="000D1D20" w:rsidRDefault="000D1D20" w:rsidP="001355DB">
            <w:pPr>
              <w:pStyle w:val="TableText"/>
            </w:pPr>
            <w:r>
              <w:t>x</w:t>
            </w:r>
          </w:p>
        </w:tc>
        <w:tc>
          <w:tcPr>
            <w:tcW w:w="0" w:type="dxa"/>
          </w:tcPr>
          <w:p w14:paraId="5B1CE50A" w14:textId="77777777" w:rsidR="000D1D20" w:rsidRDefault="000D1D20" w:rsidP="001355DB">
            <w:pPr>
              <w:pStyle w:val="TableText"/>
            </w:pPr>
          </w:p>
        </w:tc>
      </w:tr>
      <w:tr w:rsidR="000D1D20" w14:paraId="6198EA68" w14:textId="77777777" w:rsidTr="001355DB">
        <w:trPr>
          <w:trHeight w:val="300"/>
        </w:trPr>
        <w:tc>
          <w:tcPr>
            <w:tcW w:w="0" w:type="dxa"/>
          </w:tcPr>
          <w:p w14:paraId="4EA1A3B5" w14:textId="77777777" w:rsidR="000D1D20" w:rsidRPr="009B3BA2" w:rsidRDefault="000D1D20" w:rsidP="001355DB">
            <w:pPr>
              <w:pStyle w:val="TableText"/>
            </w:pPr>
            <w:r w:rsidRPr="009B3BA2">
              <w:rPr>
                <w:b/>
                <w:bCs/>
              </w:rPr>
              <w:t>Recommended Medium and Long-term pathway to address Erosion is Protection with Beach Nourishment (PR1)</w:t>
            </w:r>
          </w:p>
        </w:tc>
        <w:tc>
          <w:tcPr>
            <w:tcW w:w="0" w:type="dxa"/>
          </w:tcPr>
          <w:p w14:paraId="2A1244AD" w14:textId="77777777" w:rsidR="000D1D20" w:rsidRPr="009B3BA2" w:rsidRDefault="000D1D20" w:rsidP="00FF5CBF">
            <w:pPr>
              <w:pStyle w:val="ListBullet0"/>
              <w:numPr>
                <w:ilvl w:val="0"/>
                <w:numId w:val="54"/>
              </w:numPr>
              <w:spacing w:beforeLines="40" w:before="96" w:afterLines="40" w:after="96" w:line="240" w:lineRule="auto"/>
            </w:pPr>
            <w:r>
              <w:t>Monitoring will determine the need for additional works beyond those recommended in the short-term</w:t>
            </w:r>
          </w:p>
        </w:tc>
        <w:tc>
          <w:tcPr>
            <w:tcW w:w="0" w:type="dxa"/>
          </w:tcPr>
          <w:p w14:paraId="19E1663C" w14:textId="77777777" w:rsidR="000D1D20" w:rsidRDefault="000D1D20" w:rsidP="00FF5CBF">
            <w:pPr>
              <w:pStyle w:val="ListBullet0"/>
              <w:numPr>
                <w:ilvl w:val="0"/>
                <w:numId w:val="54"/>
              </w:numPr>
              <w:spacing w:beforeLines="40" w:before="96" w:afterLines="40" w:after="96" w:line="240" w:lineRule="auto"/>
            </w:pPr>
            <w:r>
              <w:t>LGA</w:t>
            </w:r>
          </w:p>
        </w:tc>
        <w:tc>
          <w:tcPr>
            <w:tcW w:w="0" w:type="dxa"/>
          </w:tcPr>
          <w:p w14:paraId="771BC6EA" w14:textId="77777777" w:rsidR="000D1D20" w:rsidRDefault="000D1D20" w:rsidP="00FF5CBF">
            <w:pPr>
              <w:pStyle w:val="ListBullet0"/>
              <w:numPr>
                <w:ilvl w:val="0"/>
                <w:numId w:val="54"/>
              </w:numPr>
              <w:spacing w:beforeLines="40" w:before="96" w:afterLines="40" w:after="96" w:line="240" w:lineRule="auto"/>
            </w:pPr>
            <w:r>
              <w:t>Monitoring</w:t>
            </w:r>
          </w:p>
          <w:p w14:paraId="7FAAE4E8" w14:textId="77777777" w:rsidR="000D1D20" w:rsidRDefault="000D1D20" w:rsidP="00FF5CBF">
            <w:pPr>
              <w:pStyle w:val="ListBullet0"/>
              <w:numPr>
                <w:ilvl w:val="0"/>
                <w:numId w:val="54"/>
              </w:numPr>
              <w:spacing w:beforeLines="40" w:before="96" w:afterLines="40" w:after="96" w:line="240" w:lineRule="auto"/>
            </w:pPr>
            <w:r>
              <w:t>Updated CHRMAP</w:t>
            </w:r>
          </w:p>
        </w:tc>
        <w:tc>
          <w:tcPr>
            <w:tcW w:w="0" w:type="dxa"/>
          </w:tcPr>
          <w:p w14:paraId="5A1C99AE" w14:textId="77777777" w:rsidR="000D1D20" w:rsidRDefault="000D1D20" w:rsidP="00FF5CBF">
            <w:pPr>
              <w:pStyle w:val="ListBullet0"/>
              <w:numPr>
                <w:ilvl w:val="0"/>
                <w:numId w:val="54"/>
              </w:numPr>
              <w:spacing w:beforeLines="40" w:before="96" w:afterLines="40" w:after="96" w:line="240" w:lineRule="auto"/>
              <w:jc w:val="left"/>
            </w:pPr>
            <w:r>
              <w:t xml:space="preserve">$21.9M at NPV 4% for a 100-year timeframe </w:t>
            </w:r>
          </w:p>
          <w:p w14:paraId="16409CBA" w14:textId="77777777" w:rsidR="000D1D20" w:rsidRDefault="000D1D20" w:rsidP="00FF5CBF">
            <w:pPr>
              <w:pStyle w:val="ListBullet0"/>
              <w:numPr>
                <w:ilvl w:val="0"/>
                <w:numId w:val="54"/>
              </w:numPr>
              <w:spacing w:beforeLines="40" w:before="96" w:afterLines="40" w:after="96" w:line="240" w:lineRule="auto"/>
              <w:jc w:val="left"/>
            </w:pPr>
            <w:r>
              <w:t>Annual maintenance estimate of approximately $0.5M</w:t>
            </w:r>
          </w:p>
        </w:tc>
        <w:tc>
          <w:tcPr>
            <w:tcW w:w="1680" w:type="dxa"/>
          </w:tcPr>
          <w:p w14:paraId="47C9505B" w14:textId="77777777" w:rsidR="000D1D20" w:rsidRDefault="000D1D20" w:rsidP="00FF5CBF">
            <w:pPr>
              <w:pStyle w:val="ListBullet0"/>
              <w:numPr>
                <w:ilvl w:val="0"/>
                <w:numId w:val="54"/>
              </w:numPr>
              <w:spacing w:beforeLines="40" w:before="96" w:afterLines="40" w:after="96" w:line="240" w:lineRule="auto"/>
            </w:pPr>
            <w:r>
              <w:t>Operational</w:t>
            </w:r>
          </w:p>
          <w:p w14:paraId="111C8329" w14:textId="77777777" w:rsidR="000D1D20" w:rsidRDefault="000D1D20" w:rsidP="00FF5CBF">
            <w:pPr>
              <w:pStyle w:val="ListBullet0"/>
              <w:numPr>
                <w:ilvl w:val="0"/>
                <w:numId w:val="54"/>
              </w:numPr>
              <w:spacing w:beforeLines="40" w:before="96" w:afterLines="40" w:after="96" w:line="240" w:lineRule="auto"/>
            </w:pPr>
            <w:r>
              <w:t>Grants (e.g. CAP)</w:t>
            </w:r>
          </w:p>
          <w:p w14:paraId="0DE0760B" w14:textId="77777777" w:rsidR="000D1D20" w:rsidRDefault="000D1D20" w:rsidP="00FF5CBF">
            <w:pPr>
              <w:pStyle w:val="ListBullet0"/>
              <w:numPr>
                <w:ilvl w:val="0"/>
                <w:numId w:val="54"/>
              </w:numPr>
              <w:spacing w:beforeLines="40" w:before="96" w:afterLines="40" w:after="96" w:line="240" w:lineRule="auto"/>
            </w:pPr>
            <w:r>
              <w:t>Direct beneficiaries</w:t>
            </w:r>
          </w:p>
        </w:tc>
        <w:tc>
          <w:tcPr>
            <w:tcW w:w="784" w:type="dxa"/>
          </w:tcPr>
          <w:p w14:paraId="771D35AC" w14:textId="77777777" w:rsidR="000D1D20" w:rsidRDefault="000D1D20" w:rsidP="001355DB">
            <w:pPr>
              <w:pStyle w:val="TableText"/>
            </w:pPr>
          </w:p>
        </w:tc>
        <w:tc>
          <w:tcPr>
            <w:tcW w:w="0" w:type="dxa"/>
          </w:tcPr>
          <w:p w14:paraId="36A0F1BC" w14:textId="77777777" w:rsidR="000D1D20" w:rsidRDefault="000D1D20" w:rsidP="001355DB">
            <w:pPr>
              <w:pStyle w:val="TableText"/>
            </w:pPr>
          </w:p>
        </w:tc>
        <w:tc>
          <w:tcPr>
            <w:tcW w:w="0" w:type="dxa"/>
          </w:tcPr>
          <w:p w14:paraId="576682A7" w14:textId="77777777" w:rsidR="000D1D20" w:rsidRDefault="000D1D20" w:rsidP="001355DB">
            <w:pPr>
              <w:pStyle w:val="TableText"/>
            </w:pPr>
          </w:p>
        </w:tc>
        <w:tc>
          <w:tcPr>
            <w:tcW w:w="0" w:type="dxa"/>
          </w:tcPr>
          <w:p w14:paraId="12AF13D7" w14:textId="77777777" w:rsidR="000D1D20" w:rsidRDefault="000D1D20" w:rsidP="001355DB">
            <w:pPr>
              <w:pStyle w:val="TableText"/>
            </w:pPr>
            <w:r>
              <w:t>x</w:t>
            </w:r>
          </w:p>
        </w:tc>
      </w:tr>
      <w:tr w:rsidR="000D1D20" w14:paraId="33DD3657" w14:textId="77777777" w:rsidTr="001355DB">
        <w:trPr>
          <w:trHeight w:val="300"/>
        </w:trPr>
        <w:tc>
          <w:tcPr>
            <w:tcW w:w="0" w:type="dxa"/>
          </w:tcPr>
          <w:p w14:paraId="426586AD" w14:textId="77777777" w:rsidR="000D1D20" w:rsidRPr="009B3BA2" w:rsidRDefault="000D1D20" w:rsidP="001355DB">
            <w:pPr>
              <w:pStyle w:val="TableText"/>
            </w:pPr>
            <w:r w:rsidRPr="009B3BA2">
              <w:rPr>
                <w:b/>
                <w:bCs/>
              </w:rPr>
              <w:t>Recommended Medium and Long-term pathway to address Inundation is a Levee (PR6)</w:t>
            </w:r>
          </w:p>
        </w:tc>
        <w:tc>
          <w:tcPr>
            <w:tcW w:w="0" w:type="dxa"/>
          </w:tcPr>
          <w:p w14:paraId="4BEC6E18" w14:textId="77777777" w:rsidR="000D1D20" w:rsidRPr="009B3BA2" w:rsidRDefault="000D1D20" w:rsidP="00FF5CBF">
            <w:pPr>
              <w:pStyle w:val="ListBullet0"/>
              <w:numPr>
                <w:ilvl w:val="0"/>
                <w:numId w:val="54"/>
              </w:numPr>
              <w:spacing w:beforeLines="40" w:before="96" w:afterLines="40" w:after="96" w:line="240" w:lineRule="auto"/>
            </w:pPr>
            <w:r>
              <w:t>Monitoring and maintenance of infrastructure and design and performance reviews in accordance with new information and CHRMAP updates.</w:t>
            </w:r>
          </w:p>
          <w:p w14:paraId="484860FD" w14:textId="77777777" w:rsidR="000D1D20" w:rsidRPr="009B3BA2" w:rsidRDefault="000D1D20" w:rsidP="00FF5CBF">
            <w:pPr>
              <w:pStyle w:val="ListBullet0"/>
              <w:numPr>
                <w:ilvl w:val="0"/>
                <w:numId w:val="54"/>
              </w:numPr>
              <w:spacing w:beforeLines="40" w:before="96" w:afterLines="40" w:after="96" w:line="240" w:lineRule="auto"/>
            </w:pPr>
            <w:r>
              <w:t>Secondary components may include the need for additional levees and drainage improvements as sea level rise progresses</w:t>
            </w:r>
          </w:p>
        </w:tc>
        <w:tc>
          <w:tcPr>
            <w:tcW w:w="0" w:type="dxa"/>
          </w:tcPr>
          <w:p w14:paraId="1BBDB4AF" w14:textId="77777777" w:rsidR="000D1D20" w:rsidRDefault="000D1D20" w:rsidP="00FF5CBF">
            <w:pPr>
              <w:pStyle w:val="ListBullet0"/>
              <w:numPr>
                <w:ilvl w:val="0"/>
                <w:numId w:val="54"/>
              </w:numPr>
              <w:spacing w:beforeLines="40" w:before="96" w:afterLines="40" w:after="96" w:line="240" w:lineRule="auto"/>
            </w:pPr>
            <w:r>
              <w:t>LGA</w:t>
            </w:r>
          </w:p>
        </w:tc>
        <w:tc>
          <w:tcPr>
            <w:tcW w:w="0" w:type="dxa"/>
          </w:tcPr>
          <w:p w14:paraId="57C97131" w14:textId="77777777" w:rsidR="000D1D20" w:rsidRDefault="000D1D20" w:rsidP="00FF5CBF">
            <w:pPr>
              <w:pStyle w:val="ListBullet0"/>
              <w:numPr>
                <w:ilvl w:val="0"/>
                <w:numId w:val="54"/>
              </w:numPr>
              <w:spacing w:beforeLines="40" w:before="96" w:afterLines="40" w:after="96" w:line="240" w:lineRule="auto"/>
            </w:pPr>
            <w:r>
              <w:t>Monitoring</w:t>
            </w:r>
          </w:p>
          <w:p w14:paraId="660859E9" w14:textId="77777777" w:rsidR="000D1D20" w:rsidRDefault="000D1D20" w:rsidP="00FF5CBF">
            <w:pPr>
              <w:pStyle w:val="ListBullet0"/>
              <w:numPr>
                <w:ilvl w:val="0"/>
                <w:numId w:val="54"/>
              </w:numPr>
              <w:spacing w:beforeLines="40" w:before="96" w:afterLines="40" w:after="96" w:line="240" w:lineRule="auto"/>
            </w:pPr>
            <w:r>
              <w:t>Updated CHRMAP</w:t>
            </w:r>
          </w:p>
        </w:tc>
        <w:tc>
          <w:tcPr>
            <w:tcW w:w="0" w:type="dxa"/>
          </w:tcPr>
          <w:p w14:paraId="696E3C2C" w14:textId="77777777" w:rsidR="000D1D20" w:rsidRPr="000435BB" w:rsidRDefault="000D1D20" w:rsidP="00FF5CBF">
            <w:pPr>
              <w:pStyle w:val="ListBullet0"/>
              <w:numPr>
                <w:ilvl w:val="0"/>
                <w:numId w:val="54"/>
              </w:numPr>
              <w:spacing w:beforeLines="40" w:before="96" w:afterLines="40" w:after="96" w:line="240" w:lineRule="auto"/>
              <w:jc w:val="left"/>
            </w:pPr>
            <w:r>
              <w:t>$18.8M at NPV 4% for a 100-year timeframe</w:t>
            </w:r>
          </w:p>
          <w:p w14:paraId="45075FD7" w14:textId="77777777" w:rsidR="000D1D20" w:rsidRDefault="000D1D20" w:rsidP="00FF5CBF">
            <w:pPr>
              <w:pStyle w:val="ListBullet0"/>
              <w:numPr>
                <w:ilvl w:val="0"/>
                <w:numId w:val="54"/>
              </w:numPr>
              <w:spacing w:beforeLines="40" w:before="96" w:afterLines="40" w:after="96" w:line="240" w:lineRule="auto"/>
              <w:jc w:val="left"/>
            </w:pPr>
            <w:r>
              <w:t>Annual maintenance estimate of approximately $0.27M</w:t>
            </w:r>
          </w:p>
        </w:tc>
        <w:tc>
          <w:tcPr>
            <w:tcW w:w="1680" w:type="dxa"/>
          </w:tcPr>
          <w:p w14:paraId="46F49E9C" w14:textId="77777777" w:rsidR="000D1D20" w:rsidRDefault="000D1D20" w:rsidP="00FF5CBF">
            <w:pPr>
              <w:pStyle w:val="ListBullet0"/>
              <w:numPr>
                <w:ilvl w:val="0"/>
                <w:numId w:val="54"/>
              </w:numPr>
              <w:spacing w:beforeLines="40" w:before="96" w:afterLines="40" w:after="96" w:line="240" w:lineRule="auto"/>
            </w:pPr>
            <w:r>
              <w:t>Operational</w:t>
            </w:r>
          </w:p>
          <w:p w14:paraId="3175A8E7" w14:textId="77777777" w:rsidR="000D1D20" w:rsidRDefault="000D1D20" w:rsidP="00FF5CBF">
            <w:pPr>
              <w:pStyle w:val="ListBullet0"/>
              <w:numPr>
                <w:ilvl w:val="0"/>
                <w:numId w:val="54"/>
              </w:numPr>
              <w:spacing w:beforeLines="40" w:before="96" w:afterLines="40" w:after="96" w:line="240" w:lineRule="auto"/>
            </w:pPr>
            <w:r>
              <w:t>Grants (e.g. DRF)</w:t>
            </w:r>
          </w:p>
          <w:p w14:paraId="09DD84C8" w14:textId="77777777" w:rsidR="000D1D20" w:rsidRDefault="000D1D20" w:rsidP="00FF5CBF">
            <w:pPr>
              <w:pStyle w:val="ListBullet0"/>
              <w:numPr>
                <w:ilvl w:val="0"/>
                <w:numId w:val="54"/>
              </w:numPr>
              <w:spacing w:beforeLines="40" w:before="96" w:afterLines="40" w:after="96" w:line="240" w:lineRule="auto"/>
            </w:pPr>
            <w:r>
              <w:t>Direct beneficiaries</w:t>
            </w:r>
          </w:p>
        </w:tc>
        <w:tc>
          <w:tcPr>
            <w:tcW w:w="784" w:type="dxa"/>
          </w:tcPr>
          <w:p w14:paraId="123B9E7D" w14:textId="77777777" w:rsidR="000D1D20" w:rsidRDefault="000D1D20" w:rsidP="001355DB">
            <w:pPr>
              <w:pStyle w:val="TableText"/>
            </w:pPr>
          </w:p>
        </w:tc>
        <w:tc>
          <w:tcPr>
            <w:tcW w:w="0" w:type="dxa"/>
          </w:tcPr>
          <w:p w14:paraId="143BCCDF" w14:textId="77777777" w:rsidR="000D1D20" w:rsidRDefault="000D1D20" w:rsidP="001355DB">
            <w:pPr>
              <w:pStyle w:val="TableText"/>
            </w:pPr>
          </w:p>
        </w:tc>
        <w:tc>
          <w:tcPr>
            <w:tcW w:w="0" w:type="dxa"/>
          </w:tcPr>
          <w:p w14:paraId="552F47F9" w14:textId="77777777" w:rsidR="000D1D20" w:rsidRDefault="000D1D20" w:rsidP="001355DB">
            <w:pPr>
              <w:pStyle w:val="TableText"/>
            </w:pPr>
          </w:p>
        </w:tc>
        <w:tc>
          <w:tcPr>
            <w:tcW w:w="0" w:type="dxa"/>
          </w:tcPr>
          <w:p w14:paraId="11E907CE" w14:textId="77777777" w:rsidR="000D1D20" w:rsidRDefault="000D1D20" w:rsidP="001355DB">
            <w:pPr>
              <w:pStyle w:val="TableText"/>
            </w:pPr>
            <w:r>
              <w:t>x</w:t>
            </w:r>
          </w:p>
        </w:tc>
      </w:tr>
    </w:tbl>
    <w:p w14:paraId="487A6C8A" w14:textId="77777777" w:rsidR="000D1D20" w:rsidRDefault="000D1D20" w:rsidP="000D1D20">
      <w:pPr>
        <w:spacing w:before="80" w:after="80"/>
        <w:rPr>
          <w:b/>
          <w:color w:val="595959" w:themeColor="text1" w:themeTint="A6"/>
          <w:sz w:val="18"/>
        </w:rPr>
      </w:pPr>
      <w:r>
        <w:br w:type="page"/>
      </w:r>
    </w:p>
    <w:p w14:paraId="1BA2C82C" w14:textId="3E4CD0A4" w:rsidR="000D1D20" w:rsidRDefault="000D1D20" w:rsidP="000D1D20">
      <w:pPr>
        <w:pStyle w:val="TableCaption"/>
      </w:pPr>
      <w:bookmarkStart w:id="340" w:name="_Toc156209462"/>
      <w:bookmarkStart w:id="341" w:name="_Toc164411298"/>
      <w:r>
        <w:lastRenderedPageBreak/>
        <w:t>Table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8</w:t>
      </w:r>
      <w:r w:rsidR="008647EF">
        <w:fldChar w:fldCharType="end"/>
      </w:r>
      <w:r>
        <w:tab/>
      </w:r>
      <w:r w:rsidRPr="00181B50">
        <w:t xml:space="preserve">MU3 - </w:t>
      </w:r>
      <w:r w:rsidRPr="00D54485">
        <w:t>Rushy Point to Limekilns Point</w:t>
      </w:r>
      <w:r>
        <w:t xml:space="preserve"> recommendations in priority order.</w:t>
      </w:r>
      <w:bookmarkEnd w:id="340"/>
      <w:bookmarkEnd w:id="341"/>
    </w:p>
    <w:tbl>
      <w:tblPr>
        <w:tblStyle w:val="BlueTable"/>
        <w:tblW w:w="0" w:type="auto"/>
        <w:tblLook w:val="0620" w:firstRow="1" w:lastRow="0" w:firstColumn="0" w:lastColumn="0" w:noHBand="1" w:noVBand="1"/>
      </w:tblPr>
      <w:tblGrid>
        <w:gridCol w:w="3258"/>
        <w:gridCol w:w="4211"/>
        <w:gridCol w:w="2165"/>
        <w:gridCol w:w="3021"/>
        <w:gridCol w:w="2653"/>
        <w:gridCol w:w="1736"/>
        <w:gridCol w:w="728"/>
        <w:gridCol w:w="781"/>
        <w:gridCol w:w="781"/>
        <w:gridCol w:w="781"/>
      </w:tblGrid>
      <w:tr w:rsidR="000D1D20" w14:paraId="7361DE2A" w14:textId="77777777" w:rsidTr="001355DB">
        <w:trPr>
          <w:cnfStyle w:val="100000000000" w:firstRow="1" w:lastRow="0" w:firstColumn="0" w:lastColumn="0" w:oddVBand="0" w:evenVBand="0" w:oddHBand="0" w:evenHBand="0" w:firstRowFirstColumn="0" w:firstRowLastColumn="0" w:lastRowFirstColumn="0" w:lastRowLastColumn="0"/>
        </w:trPr>
        <w:tc>
          <w:tcPr>
            <w:tcW w:w="0" w:type="auto"/>
          </w:tcPr>
          <w:p w14:paraId="4EE5F1E3" w14:textId="77777777" w:rsidR="000D1D20" w:rsidRDefault="000D1D20" w:rsidP="001355DB">
            <w:pPr>
              <w:pStyle w:val="TableHeading"/>
            </w:pPr>
            <w:r>
              <w:t>Recommendation</w:t>
            </w:r>
          </w:p>
        </w:tc>
        <w:tc>
          <w:tcPr>
            <w:tcW w:w="0" w:type="auto"/>
          </w:tcPr>
          <w:p w14:paraId="667D6A41" w14:textId="77777777" w:rsidR="000D1D20" w:rsidRDefault="000D1D20" w:rsidP="001355DB">
            <w:pPr>
              <w:pStyle w:val="TableHeading"/>
            </w:pPr>
            <w:r>
              <w:t>Notes</w:t>
            </w:r>
          </w:p>
        </w:tc>
        <w:tc>
          <w:tcPr>
            <w:tcW w:w="0" w:type="auto"/>
          </w:tcPr>
          <w:p w14:paraId="746222D1" w14:textId="77777777" w:rsidR="000D1D20" w:rsidRDefault="000D1D20" w:rsidP="001355DB">
            <w:pPr>
              <w:pStyle w:val="TableHeading"/>
            </w:pPr>
            <w:r>
              <w:t>Responsibility</w:t>
            </w:r>
          </w:p>
        </w:tc>
        <w:tc>
          <w:tcPr>
            <w:tcW w:w="0" w:type="auto"/>
          </w:tcPr>
          <w:p w14:paraId="73DE98A5" w14:textId="77777777" w:rsidR="000D1D20" w:rsidRDefault="000D1D20" w:rsidP="001355DB">
            <w:pPr>
              <w:pStyle w:val="TableHeading"/>
            </w:pPr>
            <w:r>
              <w:t>Trigger</w:t>
            </w:r>
          </w:p>
        </w:tc>
        <w:tc>
          <w:tcPr>
            <w:tcW w:w="0" w:type="auto"/>
          </w:tcPr>
          <w:p w14:paraId="3D92E15C" w14:textId="77777777" w:rsidR="000D1D20" w:rsidRDefault="000D1D20" w:rsidP="001355DB">
            <w:pPr>
              <w:pStyle w:val="TableHeading"/>
            </w:pPr>
            <w:r>
              <w:t>Cost</w:t>
            </w:r>
          </w:p>
        </w:tc>
        <w:tc>
          <w:tcPr>
            <w:tcW w:w="1736" w:type="dxa"/>
          </w:tcPr>
          <w:p w14:paraId="46DC6428" w14:textId="77777777" w:rsidR="000D1D20" w:rsidRDefault="000D1D20" w:rsidP="001355DB">
            <w:pPr>
              <w:pStyle w:val="TableHeading"/>
            </w:pPr>
            <w:r>
              <w:t>Funding</w:t>
            </w:r>
          </w:p>
        </w:tc>
        <w:tc>
          <w:tcPr>
            <w:tcW w:w="728" w:type="dxa"/>
          </w:tcPr>
          <w:p w14:paraId="0FFB354A" w14:textId="77777777" w:rsidR="000D1D20" w:rsidRDefault="000D1D20" w:rsidP="001355DB">
            <w:pPr>
              <w:pStyle w:val="TableHeading"/>
            </w:pPr>
            <w:r>
              <w:t>2024-2025</w:t>
            </w:r>
          </w:p>
        </w:tc>
        <w:tc>
          <w:tcPr>
            <w:tcW w:w="0" w:type="auto"/>
          </w:tcPr>
          <w:p w14:paraId="33381ACB" w14:textId="77777777" w:rsidR="000D1D20" w:rsidRDefault="000D1D20" w:rsidP="001355DB">
            <w:pPr>
              <w:pStyle w:val="TableHeading"/>
            </w:pPr>
            <w:r>
              <w:t>2025-2035</w:t>
            </w:r>
          </w:p>
        </w:tc>
        <w:tc>
          <w:tcPr>
            <w:tcW w:w="0" w:type="auto"/>
          </w:tcPr>
          <w:p w14:paraId="0A68BF75" w14:textId="77777777" w:rsidR="000D1D20" w:rsidRDefault="000D1D20" w:rsidP="001355DB">
            <w:pPr>
              <w:pStyle w:val="TableHeading"/>
            </w:pPr>
            <w:r>
              <w:t>2035-2050</w:t>
            </w:r>
          </w:p>
        </w:tc>
        <w:tc>
          <w:tcPr>
            <w:tcW w:w="0" w:type="auto"/>
          </w:tcPr>
          <w:p w14:paraId="6F859995" w14:textId="77777777" w:rsidR="000D1D20" w:rsidRPr="000D271C" w:rsidRDefault="000D1D20" w:rsidP="001355DB">
            <w:pPr>
              <w:pStyle w:val="TableHeading"/>
            </w:pPr>
            <w:r>
              <w:t>2050-2120</w:t>
            </w:r>
          </w:p>
        </w:tc>
      </w:tr>
      <w:tr w:rsidR="000D1D20" w14:paraId="51D5A7B0" w14:textId="77777777" w:rsidTr="001355DB">
        <w:tc>
          <w:tcPr>
            <w:tcW w:w="0" w:type="auto"/>
          </w:tcPr>
          <w:p w14:paraId="0C94E6F9" w14:textId="77777777" w:rsidR="000D1D20" w:rsidRDefault="000D1D20" w:rsidP="001355DB">
            <w:pPr>
              <w:pStyle w:val="TableText"/>
            </w:pPr>
            <w:r>
              <w:t>INVESTIGATION 1</w:t>
            </w:r>
          </w:p>
          <w:p w14:paraId="476D9FB8" w14:textId="77777777" w:rsidR="000D1D20" w:rsidRDefault="000D1D20" w:rsidP="001355DB">
            <w:pPr>
              <w:pStyle w:val="TableText"/>
            </w:pPr>
            <w:r>
              <w:t>Sand Source Feasibility Study</w:t>
            </w:r>
          </w:p>
        </w:tc>
        <w:tc>
          <w:tcPr>
            <w:tcW w:w="0" w:type="auto"/>
          </w:tcPr>
          <w:p w14:paraId="539537B3" w14:textId="77777777" w:rsidR="000D1D20" w:rsidRDefault="000D1D20" w:rsidP="00FF5CBF">
            <w:pPr>
              <w:pStyle w:val="ListBullet0"/>
              <w:numPr>
                <w:ilvl w:val="0"/>
                <w:numId w:val="53"/>
              </w:numPr>
              <w:spacing w:beforeLines="40" w:before="96" w:afterLines="40" w:after="96" w:line="240" w:lineRule="auto"/>
            </w:pPr>
            <w:r>
              <w:t>Determine the capacity and cost of local sand supplies, including both land-based and marine sources. Undertake early stakeholder engagement and consider approvals required.</w:t>
            </w:r>
          </w:p>
          <w:p w14:paraId="1E86B069" w14:textId="77777777" w:rsidR="000D1D20" w:rsidRDefault="000D1D20" w:rsidP="00FF5CBF">
            <w:pPr>
              <w:pStyle w:val="ListBullet0"/>
              <w:numPr>
                <w:ilvl w:val="0"/>
                <w:numId w:val="53"/>
              </w:numPr>
              <w:spacing w:beforeLines="40" w:before="96" w:afterLines="40" w:after="96" w:line="240" w:lineRule="auto"/>
            </w:pPr>
            <w:r>
              <w:t>Likely require repetition over Medium-term</w:t>
            </w:r>
          </w:p>
          <w:p w14:paraId="302A7294" w14:textId="77777777" w:rsidR="000D1D20" w:rsidRDefault="000D1D20" w:rsidP="00FF5CBF">
            <w:pPr>
              <w:pStyle w:val="ListBullet0"/>
              <w:numPr>
                <w:ilvl w:val="0"/>
                <w:numId w:val="53"/>
              </w:numPr>
              <w:spacing w:beforeLines="40" w:before="96" w:afterLines="40" w:after="96" w:line="240" w:lineRule="auto"/>
            </w:pPr>
            <w:r>
              <w:t>Focus is sand for beach nourishment and appropriate material for levee construction and potentially to raise height of land in inundation hazard zones</w:t>
            </w:r>
          </w:p>
        </w:tc>
        <w:tc>
          <w:tcPr>
            <w:tcW w:w="0" w:type="auto"/>
          </w:tcPr>
          <w:p w14:paraId="677A67B6" w14:textId="77777777" w:rsidR="000D1D20" w:rsidRDefault="000D1D20" w:rsidP="00FF5CBF">
            <w:pPr>
              <w:pStyle w:val="ListBullet0"/>
              <w:numPr>
                <w:ilvl w:val="0"/>
                <w:numId w:val="53"/>
              </w:numPr>
              <w:spacing w:beforeLines="40" w:before="96" w:afterLines="40" w:after="96" w:line="240" w:lineRule="auto"/>
            </w:pPr>
            <w:r>
              <w:t>LGA</w:t>
            </w:r>
          </w:p>
          <w:p w14:paraId="5DE9AA0D" w14:textId="77777777" w:rsidR="000D1D20" w:rsidRDefault="000D1D20" w:rsidP="00FF5CBF">
            <w:pPr>
              <w:pStyle w:val="ListBullet0"/>
              <w:numPr>
                <w:ilvl w:val="0"/>
                <w:numId w:val="53"/>
              </w:numPr>
              <w:spacing w:beforeLines="40" w:before="96" w:afterLines="40" w:after="96" w:line="240" w:lineRule="auto"/>
            </w:pPr>
            <w:r>
              <w:t>Can seek support from state departments</w:t>
            </w:r>
          </w:p>
        </w:tc>
        <w:tc>
          <w:tcPr>
            <w:tcW w:w="0" w:type="auto"/>
          </w:tcPr>
          <w:p w14:paraId="682D9501" w14:textId="77777777" w:rsidR="000D1D20" w:rsidRDefault="000D1D20" w:rsidP="00FF5CBF">
            <w:pPr>
              <w:pStyle w:val="ListBullet0"/>
              <w:numPr>
                <w:ilvl w:val="0"/>
                <w:numId w:val="53"/>
              </w:numPr>
              <w:spacing w:beforeLines="40" w:before="96" w:afterLines="40" w:after="96" w:line="240" w:lineRule="auto"/>
            </w:pPr>
            <w:r>
              <w:t>Completed CHRMAP</w:t>
            </w:r>
          </w:p>
        </w:tc>
        <w:tc>
          <w:tcPr>
            <w:tcW w:w="0" w:type="auto"/>
          </w:tcPr>
          <w:p w14:paraId="37BA30DD" w14:textId="77777777" w:rsidR="000D1D20" w:rsidRDefault="000D1D20" w:rsidP="00FF5CBF">
            <w:pPr>
              <w:pStyle w:val="ListBullet0"/>
              <w:numPr>
                <w:ilvl w:val="0"/>
                <w:numId w:val="53"/>
              </w:numPr>
              <w:spacing w:beforeLines="40" w:before="96" w:afterLines="40" w:after="96" w:line="240" w:lineRule="auto"/>
              <w:jc w:val="left"/>
            </w:pPr>
            <w:r>
              <w:t>$150,000</w:t>
            </w:r>
          </w:p>
          <w:p w14:paraId="7CF15E88" w14:textId="77777777" w:rsidR="000D1D20" w:rsidRDefault="000D1D20" w:rsidP="00FF5CBF">
            <w:pPr>
              <w:pStyle w:val="ListBullet0"/>
              <w:numPr>
                <w:ilvl w:val="0"/>
                <w:numId w:val="53"/>
              </w:numPr>
              <w:spacing w:beforeLines="40" w:before="96" w:afterLines="40" w:after="96" w:line="240" w:lineRule="auto"/>
              <w:jc w:val="left"/>
            </w:pPr>
            <w:r>
              <w:t>Assumes undertaken for all MUs</w:t>
            </w:r>
          </w:p>
        </w:tc>
        <w:tc>
          <w:tcPr>
            <w:tcW w:w="1736" w:type="dxa"/>
          </w:tcPr>
          <w:p w14:paraId="52C475DA" w14:textId="77777777" w:rsidR="000D1D20" w:rsidRDefault="000D1D20" w:rsidP="00FF5CBF">
            <w:pPr>
              <w:pStyle w:val="ListBullet0"/>
              <w:numPr>
                <w:ilvl w:val="0"/>
                <w:numId w:val="53"/>
              </w:numPr>
              <w:spacing w:beforeLines="40" w:before="96" w:afterLines="40" w:after="96" w:line="240" w:lineRule="auto"/>
            </w:pPr>
            <w:r>
              <w:t>Operational</w:t>
            </w:r>
          </w:p>
          <w:p w14:paraId="55E9FC25" w14:textId="77777777" w:rsidR="000D1D20" w:rsidRDefault="000D1D20" w:rsidP="00FF5CBF">
            <w:pPr>
              <w:pStyle w:val="ListBullet0"/>
              <w:numPr>
                <w:ilvl w:val="0"/>
                <w:numId w:val="53"/>
              </w:numPr>
              <w:spacing w:beforeLines="40" w:before="96" w:afterLines="40" w:after="96" w:line="240" w:lineRule="auto"/>
            </w:pPr>
            <w:r>
              <w:t>Grants (e.g. CAP)</w:t>
            </w:r>
          </w:p>
        </w:tc>
        <w:tc>
          <w:tcPr>
            <w:tcW w:w="728" w:type="dxa"/>
          </w:tcPr>
          <w:p w14:paraId="0C7AEA04" w14:textId="77777777" w:rsidR="000D1D20" w:rsidRDefault="000D1D20" w:rsidP="001355DB">
            <w:pPr>
              <w:pStyle w:val="TableText"/>
            </w:pPr>
            <w:r>
              <w:t>x</w:t>
            </w:r>
          </w:p>
        </w:tc>
        <w:tc>
          <w:tcPr>
            <w:tcW w:w="0" w:type="auto"/>
          </w:tcPr>
          <w:p w14:paraId="6270555F" w14:textId="77777777" w:rsidR="000D1D20" w:rsidRDefault="000D1D20" w:rsidP="001355DB">
            <w:pPr>
              <w:pStyle w:val="TableText"/>
            </w:pPr>
            <w:r>
              <w:t>x</w:t>
            </w:r>
          </w:p>
        </w:tc>
        <w:tc>
          <w:tcPr>
            <w:tcW w:w="0" w:type="auto"/>
          </w:tcPr>
          <w:p w14:paraId="0A880704" w14:textId="77777777" w:rsidR="000D1D20" w:rsidRDefault="000D1D20" w:rsidP="001355DB">
            <w:pPr>
              <w:pStyle w:val="TableText"/>
            </w:pPr>
          </w:p>
        </w:tc>
        <w:tc>
          <w:tcPr>
            <w:tcW w:w="0" w:type="auto"/>
          </w:tcPr>
          <w:p w14:paraId="1F81CE57" w14:textId="77777777" w:rsidR="000D1D20" w:rsidRDefault="000D1D20" w:rsidP="001355DB">
            <w:pPr>
              <w:pStyle w:val="TableText"/>
            </w:pPr>
          </w:p>
        </w:tc>
      </w:tr>
      <w:tr w:rsidR="000D1D20" w14:paraId="20B011CC" w14:textId="77777777" w:rsidTr="001355DB">
        <w:tc>
          <w:tcPr>
            <w:tcW w:w="0" w:type="auto"/>
          </w:tcPr>
          <w:p w14:paraId="0C8EDABD" w14:textId="77777777" w:rsidR="000D1D20" w:rsidRDefault="000D1D20" w:rsidP="001355DB">
            <w:pPr>
              <w:pStyle w:val="TableText"/>
            </w:pPr>
            <w:r>
              <w:t>INVESTIGATION 2</w:t>
            </w:r>
          </w:p>
          <w:p w14:paraId="5F6A494B" w14:textId="77777777" w:rsidR="000D1D20" w:rsidRDefault="000D1D20" w:rsidP="001355DB">
            <w:pPr>
              <w:pStyle w:val="TableText"/>
            </w:pPr>
            <w:r>
              <w:t>Update Foreshore Management Plans (FMPs)</w:t>
            </w:r>
          </w:p>
        </w:tc>
        <w:tc>
          <w:tcPr>
            <w:tcW w:w="0" w:type="auto"/>
          </w:tcPr>
          <w:p w14:paraId="0B8AAAC6" w14:textId="77777777" w:rsidR="000D1D20" w:rsidRDefault="000D1D20" w:rsidP="00FF5CBF">
            <w:pPr>
              <w:pStyle w:val="ListBullet0"/>
              <w:numPr>
                <w:ilvl w:val="0"/>
                <w:numId w:val="53"/>
              </w:numPr>
              <w:spacing w:beforeLines="40" w:before="96" w:afterLines="40" w:after="96" w:line="240" w:lineRule="auto"/>
            </w:pPr>
            <w:r>
              <w:t xml:space="preserve">Prepare an updated Foreshore Management Plan </w:t>
            </w:r>
          </w:p>
          <w:p w14:paraId="61C63050" w14:textId="77777777" w:rsidR="000D1D20" w:rsidRDefault="000D1D20" w:rsidP="00FF5CBF">
            <w:pPr>
              <w:pStyle w:val="ListBullet0"/>
              <w:numPr>
                <w:ilvl w:val="0"/>
                <w:numId w:val="53"/>
              </w:numPr>
              <w:spacing w:beforeLines="40" w:before="96" w:afterLines="40" w:after="96" w:line="240" w:lineRule="auto"/>
            </w:pPr>
            <w:r>
              <w:t>An updated FMP could help increase the protective capacity of the natural dune system. Updates should address the requirements of SPP2.6 and incorporate the findings of this CHRMAP</w:t>
            </w:r>
          </w:p>
        </w:tc>
        <w:tc>
          <w:tcPr>
            <w:tcW w:w="0" w:type="auto"/>
          </w:tcPr>
          <w:p w14:paraId="0B386AB9" w14:textId="77777777" w:rsidR="000D1D20" w:rsidRDefault="000D1D20" w:rsidP="00FF5CBF">
            <w:pPr>
              <w:pStyle w:val="ListBullet0"/>
              <w:numPr>
                <w:ilvl w:val="0"/>
                <w:numId w:val="53"/>
              </w:numPr>
              <w:spacing w:beforeLines="40" w:before="96" w:afterLines="40" w:after="96" w:line="240" w:lineRule="auto"/>
            </w:pPr>
            <w:r>
              <w:t>LGA</w:t>
            </w:r>
          </w:p>
        </w:tc>
        <w:tc>
          <w:tcPr>
            <w:tcW w:w="0" w:type="auto"/>
          </w:tcPr>
          <w:p w14:paraId="0E62DFC7" w14:textId="77777777" w:rsidR="000D1D20" w:rsidRDefault="000D1D20" w:rsidP="00FF5CBF">
            <w:pPr>
              <w:pStyle w:val="ListBullet0"/>
              <w:numPr>
                <w:ilvl w:val="0"/>
                <w:numId w:val="53"/>
              </w:numPr>
              <w:spacing w:beforeLines="40" w:before="96" w:afterLines="40" w:after="96" w:line="240" w:lineRule="auto"/>
            </w:pPr>
            <w:r>
              <w:t>Completed CHRMAP</w:t>
            </w:r>
          </w:p>
        </w:tc>
        <w:tc>
          <w:tcPr>
            <w:tcW w:w="0" w:type="auto"/>
          </w:tcPr>
          <w:p w14:paraId="022F7AFC" w14:textId="77777777" w:rsidR="000D1D20" w:rsidRDefault="000D1D20" w:rsidP="00FF5CBF">
            <w:pPr>
              <w:pStyle w:val="ListBullet0"/>
              <w:numPr>
                <w:ilvl w:val="0"/>
                <w:numId w:val="53"/>
              </w:numPr>
              <w:spacing w:beforeLines="40" w:before="96" w:afterLines="40" w:after="96" w:line="240" w:lineRule="auto"/>
              <w:jc w:val="left"/>
            </w:pPr>
            <w:r>
              <w:t>$30,000</w:t>
            </w:r>
          </w:p>
          <w:p w14:paraId="728DD708" w14:textId="77777777" w:rsidR="000D1D20" w:rsidRDefault="000D1D20" w:rsidP="00FF5CBF">
            <w:pPr>
              <w:pStyle w:val="ListBullet0"/>
              <w:numPr>
                <w:ilvl w:val="0"/>
                <w:numId w:val="53"/>
              </w:numPr>
              <w:spacing w:beforeLines="40" w:before="96" w:afterLines="40" w:after="96" w:line="240" w:lineRule="auto"/>
              <w:jc w:val="left"/>
            </w:pPr>
            <w:r>
              <w:t>Assumes only undertaken for this MU in isolation, but synergies should be investigated.</w:t>
            </w:r>
          </w:p>
        </w:tc>
        <w:tc>
          <w:tcPr>
            <w:tcW w:w="1736" w:type="dxa"/>
          </w:tcPr>
          <w:p w14:paraId="467F44AB" w14:textId="77777777" w:rsidR="000D1D20" w:rsidRDefault="000D1D20" w:rsidP="00FF5CBF">
            <w:pPr>
              <w:pStyle w:val="ListBullet0"/>
              <w:numPr>
                <w:ilvl w:val="0"/>
                <w:numId w:val="53"/>
              </w:numPr>
              <w:spacing w:beforeLines="40" w:before="96" w:afterLines="40" w:after="96" w:line="240" w:lineRule="auto"/>
            </w:pPr>
            <w:r>
              <w:t>Operational</w:t>
            </w:r>
          </w:p>
          <w:p w14:paraId="1B7A4125" w14:textId="77777777" w:rsidR="000D1D20" w:rsidRDefault="000D1D20" w:rsidP="00FF5CBF">
            <w:pPr>
              <w:pStyle w:val="ListBullet0"/>
              <w:numPr>
                <w:ilvl w:val="0"/>
                <w:numId w:val="53"/>
              </w:numPr>
              <w:spacing w:beforeLines="40" w:before="96" w:afterLines="40" w:after="96" w:line="240" w:lineRule="auto"/>
            </w:pPr>
            <w:r>
              <w:t>Grants (e.g. CMPAP)</w:t>
            </w:r>
          </w:p>
        </w:tc>
        <w:tc>
          <w:tcPr>
            <w:tcW w:w="728" w:type="dxa"/>
          </w:tcPr>
          <w:p w14:paraId="3C21E6EF" w14:textId="77777777" w:rsidR="000D1D20" w:rsidRDefault="000D1D20" w:rsidP="001355DB">
            <w:pPr>
              <w:pStyle w:val="TableText"/>
            </w:pPr>
            <w:r>
              <w:t>x</w:t>
            </w:r>
          </w:p>
        </w:tc>
        <w:tc>
          <w:tcPr>
            <w:tcW w:w="0" w:type="auto"/>
          </w:tcPr>
          <w:p w14:paraId="7BA52507" w14:textId="77777777" w:rsidR="000D1D20" w:rsidRDefault="000D1D20" w:rsidP="001355DB">
            <w:pPr>
              <w:pStyle w:val="TableText"/>
            </w:pPr>
            <w:r>
              <w:t>x</w:t>
            </w:r>
          </w:p>
        </w:tc>
        <w:tc>
          <w:tcPr>
            <w:tcW w:w="0" w:type="auto"/>
          </w:tcPr>
          <w:p w14:paraId="098A8551" w14:textId="77777777" w:rsidR="000D1D20" w:rsidRDefault="000D1D20" w:rsidP="001355DB">
            <w:pPr>
              <w:pStyle w:val="TableText"/>
            </w:pPr>
            <w:r>
              <w:t>x</w:t>
            </w:r>
          </w:p>
        </w:tc>
        <w:tc>
          <w:tcPr>
            <w:tcW w:w="0" w:type="auto"/>
          </w:tcPr>
          <w:p w14:paraId="22292D00" w14:textId="77777777" w:rsidR="000D1D20" w:rsidRDefault="000D1D20" w:rsidP="001355DB">
            <w:pPr>
              <w:pStyle w:val="TableText"/>
            </w:pPr>
            <w:r>
              <w:t>x</w:t>
            </w:r>
          </w:p>
        </w:tc>
      </w:tr>
      <w:tr w:rsidR="000D1D20" w14:paraId="56C76B6D" w14:textId="77777777" w:rsidTr="001355DB">
        <w:tc>
          <w:tcPr>
            <w:tcW w:w="0" w:type="auto"/>
            <w:vAlign w:val="center"/>
          </w:tcPr>
          <w:p w14:paraId="1DA78CD0" w14:textId="77777777" w:rsidR="000D1D20" w:rsidRDefault="000D1D20" w:rsidP="001355DB">
            <w:pPr>
              <w:pStyle w:val="TableText"/>
            </w:pPr>
            <w:r w:rsidRPr="000856DF">
              <w:t>Locating assets in areas that will not be vulnerable to coastal hazards (AV)</w:t>
            </w:r>
          </w:p>
        </w:tc>
        <w:tc>
          <w:tcPr>
            <w:tcW w:w="0" w:type="auto"/>
            <w:vAlign w:val="center"/>
          </w:tcPr>
          <w:p w14:paraId="3FD1C8E6" w14:textId="77777777" w:rsidR="000D1D20" w:rsidRDefault="000D1D20" w:rsidP="00FF5CBF">
            <w:pPr>
              <w:pStyle w:val="ListBullet0"/>
              <w:numPr>
                <w:ilvl w:val="0"/>
                <w:numId w:val="53"/>
              </w:numPr>
              <w:spacing w:beforeLines="40" w:before="96" w:afterLines="40" w:after="96" w:line="240" w:lineRule="auto"/>
            </w:pPr>
            <w:r>
              <w:t>Item cost for investigations and management plans</w:t>
            </w:r>
          </w:p>
        </w:tc>
        <w:tc>
          <w:tcPr>
            <w:tcW w:w="0" w:type="auto"/>
          </w:tcPr>
          <w:p w14:paraId="6E150860" w14:textId="77777777" w:rsidR="000D1D20" w:rsidRDefault="000D1D20" w:rsidP="00FF5CBF">
            <w:pPr>
              <w:pStyle w:val="ListBullet0"/>
              <w:numPr>
                <w:ilvl w:val="0"/>
                <w:numId w:val="53"/>
              </w:numPr>
              <w:spacing w:beforeLines="40" w:before="96" w:afterLines="40" w:after="96" w:line="240" w:lineRule="auto"/>
            </w:pPr>
            <w:r>
              <w:t>LGA</w:t>
            </w:r>
          </w:p>
        </w:tc>
        <w:tc>
          <w:tcPr>
            <w:tcW w:w="0" w:type="auto"/>
          </w:tcPr>
          <w:p w14:paraId="37EF4F80" w14:textId="77777777" w:rsidR="000D1D20" w:rsidRDefault="000D1D20" w:rsidP="00FF5CBF">
            <w:pPr>
              <w:pStyle w:val="ListBullet0"/>
              <w:numPr>
                <w:ilvl w:val="0"/>
                <w:numId w:val="53"/>
              </w:numPr>
              <w:spacing w:beforeLines="40" w:before="96" w:afterLines="40" w:after="96" w:line="240" w:lineRule="auto"/>
            </w:pPr>
            <w:r>
              <w:t>Completed CHRMAP</w:t>
            </w:r>
          </w:p>
        </w:tc>
        <w:tc>
          <w:tcPr>
            <w:tcW w:w="0" w:type="auto"/>
          </w:tcPr>
          <w:p w14:paraId="72C9A874" w14:textId="77777777" w:rsidR="000D1D20" w:rsidRDefault="000D1D20" w:rsidP="00FF5CBF">
            <w:pPr>
              <w:pStyle w:val="ListBullet0"/>
              <w:numPr>
                <w:ilvl w:val="0"/>
                <w:numId w:val="53"/>
              </w:numPr>
              <w:spacing w:beforeLines="40" w:before="96" w:afterLines="40" w:after="96" w:line="240" w:lineRule="auto"/>
              <w:jc w:val="left"/>
            </w:pPr>
            <w:r>
              <w:t>$50,000</w:t>
            </w:r>
          </w:p>
        </w:tc>
        <w:tc>
          <w:tcPr>
            <w:tcW w:w="1736" w:type="dxa"/>
          </w:tcPr>
          <w:p w14:paraId="3D506ADE" w14:textId="77777777" w:rsidR="000D1D20" w:rsidRDefault="000D1D20" w:rsidP="00FF5CBF">
            <w:pPr>
              <w:pStyle w:val="ListBullet0"/>
              <w:numPr>
                <w:ilvl w:val="0"/>
                <w:numId w:val="53"/>
              </w:numPr>
              <w:spacing w:beforeLines="40" w:before="96" w:afterLines="40" w:after="96" w:line="240" w:lineRule="auto"/>
            </w:pPr>
            <w:r>
              <w:t>Operational</w:t>
            </w:r>
          </w:p>
        </w:tc>
        <w:tc>
          <w:tcPr>
            <w:tcW w:w="728" w:type="dxa"/>
          </w:tcPr>
          <w:p w14:paraId="5120A2E2" w14:textId="77777777" w:rsidR="000D1D20" w:rsidRDefault="000D1D20" w:rsidP="001355DB">
            <w:pPr>
              <w:pStyle w:val="TableText"/>
            </w:pPr>
            <w:r>
              <w:t>x</w:t>
            </w:r>
          </w:p>
        </w:tc>
        <w:tc>
          <w:tcPr>
            <w:tcW w:w="0" w:type="auto"/>
          </w:tcPr>
          <w:p w14:paraId="6C15A8F1" w14:textId="77777777" w:rsidR="000D1D20" w:rsidRDefault="000D1D20" w:rsidP="001355DB">
            <w:pPr>
              <w:pStyle w:val="TableText"/>
            </w:pPr>
            <w:r>
              <w:t>x</w:t>
            </w:r>
          </w:p>
        </w:tc>
        <w:tc>
          <w:tcPr>
            <w:tcW w:w="0" w:type="auto"/>
          </w:tcPr>
          <w:p w14:paraId="15FF1486" w14:textId="77777777" w:rsidR="000D1D20" w:rsidRDefault="000D1D20" w:rsidP="001355DB">
            <w:pPr>
              <w:pStyle w:val="TableText"/>
            </w:pPr>
          </w:p>
        </w:tc>
        <w:tc>
          <w:tcPr>
            <w:tcW w:w="0" w:type="auto"/>
          </w:tcPr>
          <w:p w14:paraId="75C30C9A" w14:textId="77777777" w:rsidR="000D1D20" w:rsidRDefault="000D1D20" w:rsidP="001355DB">
            <w:pPr>
              <w:pStyle w:val="TableText"/>
            </w:pPr>
          </w:p>
        </w:tc>
      </w:tr>
      <w:tr w:rsidR="000D1D20" w14:paraId="355FA937" w14:textId="77777777" w:rsidTr="001355DB">
        <w:tc>
          <w:tcPr>
            <w:tcW w:w="0" w:type="auto"/>
            <w:vAlign w:val="center"/>
          </w:tcPr>
          <w:p w14:paraId="3B711BA0" w14:textId="77777777" w:rsidR="000D1D20" w:rsidRDefault="000D1D20" w:rsidP="001355DB">
            <w:pPr>
              <w:pStyle w:val="TableText"/>
            </w:pPr>
            <w:r w:rsidRPr="000856DF">
              <w:t>Monitoring (NR1)</w:t>
            </w:r>
          </w:p>
        </w:tc>
        <w:tc>
          <w:tcPr>
            <w:tcW w:w="0" w:type="auto"/>
            <w:vAlign w:val="center"/>
          </w:tcPr>
          <w:p w14:paraId="7D3D9998" w14:textId="77777777" w:rsidR="000D1D20" w:rsidRDefault="000D1D20" w:rsidP="00FF5CBF">
            <w:pPr>
              <w:pStyle w:val="ListBullet0"/>
              <w:numPr>
                <w:ilvl w:val="0"/>
                <w:numId w:val="53"/>
              </w:numPr>
              <w:spacing w:beforeLines="40" w:before="96" w:afterLines="40" w:after="96" w:line="240" w:lineRule="auto"/>
            </w:pPr>
            <w:r>
              <w:t>Beach survey for storm behaviour and to track HSD and inundation levels</w:t>
            </w:r>
          </w:p>
          <w:p w14:paraId="3F3A5F92" w14:textId="77777777" w:rsidR="000D1D20" w:rsidRDefault="000D1D20" w:rsidP="00FF5CBF">
            <w:pPr>
              <w:pStyle w:val="ListBullet0"/>
              <w:numPr>
                <w:ilvl w:val="0"/>
                <w:numId w:val="53"/>
              </w:numPr>
              <w:spacing w:beforeLines="40" w:before="96" w:afterLines="40" w:after="96" w:line="240" w:lineRule="auto"/>
            </w:pPr>
            <w:r>
              <w:t>Routine beach profiles every six months</w:t>
            </w:r>
          </w:p>
        </w:tc>
        <w:tc>
          <w:tcPr>
            <w:tcW w:w="0" w:type="auto"/>
          </w:tcPr>
          <w:p w14:paraId="3D71278D" w14:textId="77777777" w:rsidR="000D1D20" w:rsidRDefault="000D1D20" w:rsidP="00FF5CBF">
            <w:pPr>
              <w:pStyle w:val="ListBullet0"/>
              <w:numPr>
                <w:ilvl w:val="0"/>
                <w:numId w:val="53"/>
              </w:numPr>
              <w:spacing w:beforeLines="40" w:before="96" w:afterLines="40" w:after="96" w:line="240" w:lineRule="auto"/>
            </w:pPr>
            <w:r>
              <w:t>LGA</w:t>
            </w:r>
          </w:p>
          <w:p w14:paraId="390718F3" w14:textId="77777777" w:rsidR="000D1D20" w:rsidRDefault="000D1D20" w:rsidP="00FF5CBF">
            <w:pPr>
              <w:pStyle w:val="ListBullet0"/>
              <w:numPr>
                <w:ilvl w:val="0"/>
                <w:numId w:val="53"/>
              </w:numPr>
              <w:spacing w:beforeLines="40" w:before="96" w:afterLines="40" w:after="96" w:line="240" w:lineRule="auto"/>
            </w:pPr>
            <w:r>
              <w:t>Can seek support and assistance from DoT</w:t>
            </w:r>
          </w:p>
        </w:tc>
        <w:tc>
          <w:tcPr>
            <w:tcW w:w="0" w:type="auto"/>
          </w:tcPr>
          <w:p w14:paraId="6054FC1D" w14:textId="77777777" w:rsidR="000D1D20" w:rsidRDefault="000D1D20" w:rsidP="00FF5CBF">
            <w:pPr>
              <w:pStyle w:val="ListBullet0"/>
              <w:numPr>
                <w:ilvl w:val="0"/>
                <w:numId w:val="53"/>
              </w:numPr>
              <w:spacing w:beforeLines="40" w:before="96" w:afterLines="40" w:after="96" w:line="240" w:lineRule="auto"/>
            </w:pPr>
            <w:r>
              <w:t>Completed CHRMAP</w:t>
            </w:r>
          </w:p>
          <w:p w14:paraId="3758DC92" w14:textId="77777777" w:rsidR="000D1D20" w:rsidRDefault="000D1D20" w:rsidP="00FF5CBF">
            <w:pPr>
              <w:pStyle w:val="ListBullet0"/>
              <w:numPr>
                <w:ilvl w:val="0"/>
                <w:numId w:val="53"/>
              </w:numPr>
              <w:spacing w:beforeLines="40" w:before="96" w:afterLines="40" w:after="96" w:line="240" w:lineRule="auto"/>
            </w:pPr>
            <w:r>
              <w:t>Severe storm event(s)</w:t>
            </w:r>
          </w:p>
        </w:tc>
        <w:tc>
          <w:tcPr>
            <w:tcW w:w="0" w:type="auto"/>
          </w:tcPr>
          <w:p w14:paraId="6712A66D" w14:textId="77777777" w:rsidR="000D1D20" w:rsidRDefault="000D1D20" w:rsidP="00FF5CBF">
            <w:pPr>
              <w:pStyle w:val="ListBullet0"/>
              <w:numPr>
                <w:ilvl w:val="0"/>
                <w:numId w:val="53"/>
              </w:numPr>
              <w:spacing w:beforeLines="40" w:before="96" w:afterLines="40" w:after="96" w:line="240" w:lineRule="auto"/>
              <w:jc w:val="left"/>
            </w:pPr>
            <w:r>
              <w:t>$15,000 annually</w:t>
            </w:r>
          </w:p>
        </w:tc>
        <w:tc>
          <w:tcPr>
            <w:tcW w:w="1736" w:type="dxa"/>
          </w:tcPr>
          <w:p w14:paraId="5187982F" w14:textId="77777777" w:rsidR="000D1D20" w:rsidRDefault="000D1D20" w:rsidP="00FF5CBF">
            <w:pPr>
              <w:pStyle w:val="ListBullet0"/>
              <w:numPr>
                <w:ilvl w:val="0"/>
                <w:numId w:val="53"/>
              </w:numPr>
              <w:spacing w:beforeLines="40" w:before="96" w:afterLines="40" w:after="96" w:line="240" w:lineRule="auto"/>
            </w:pPr>
            <w:r>
              <w:t>Operational</w:t>
            </w:r>
          </w:p>
          <w:p w14:paraId="59E63530" w14:textId="77777777" w:rsidR="000D1D20" w:rsidRDefault="000D1D20" w:rsidP="00FF5CBF">
            <w:pPr>
              <w:pStyle w:val="ListBullet0"/>
              <w:numPr>
                <w:ilvl w:val="0"/>
                <w:numId w:val="53"/>
              </w:numPr>
              <w:spacing w:beforeLines="40" w:before="96" w:afterLines="40" w:after="96" w:line="240" w:lineRule="auto"/>
            </w:pPr>
            <w:r>
              <w:t>Grants (e.g. CAP)</w:t>
            </w:r>
          </w:p>
        </w:tc>
        <w:tc>
          <w:tcPr>
            <w:tcW w:w="728" w:type="dxa"/>
          </w:tcPr>
          <w:p w14:paraId="6F9364C7" w14:textId="77777777" w:rsidR="000D1D20" w:rsidRDefault="000D1D20" w:rsidP="001355DB">
            <w:pPr>
              <w:pStyle w:val="TableText"/>
            </w:pPr>
            <w:r>
              <w:t>x</w:t>
            </w:r>
          </w:p>
        </w:tc>
        <w:tc>
          <w:tcPr>
            <w:tcW w:w="0" w:type="auto"/>
          </w:tcPr>
          <w:p w14:paraId="048E072E" w14:textId="77777777" w:rsidR="000D1D20" w:rsidRDefault="000D1D20" w:rsidP="001355DB">
            <w:pPr>
              <w:pStyle w:val="TableText"/>
            </w:pPr>
            <w:r>
              <w:t>x</w:t>
            </w:r>
          </w:p>
        </w:tc>
        <w:tc>
          <w:tcPr>
            <w:tcW w:w="0" w:type="auto"/>
          </w:tcPr>
          <w:p w14:paraId="57B61DF1" w14:textId="77777777" w:rsidR="000D1D20" w:rsidRDefault="000D1D20" w:rsidP="001355DB">
            <w:pPr>
              <w:pStyle w:val="TableText"/>
            </w:pPr>
            <w:r>
              <w:t>x</w:t>
            </w:r>
          </w:p>
        </w:tc>
        <w:tc>
          <w:tcPr>
            <w:tcW w:w="0" w:type="auto"/>
          </w:tcPr>
          <w:p w14:paraId="00A7832B" w14:textId="77777777" w:rsidR="000D1D20" w:rsidRDefault="000D1D20" w:rsidP="001355DB">
            <w:pPr>
              <w:pStyle w:val="TableText"/>
            </w:pPr>
            <w:r>
              <w:t>x</w:t>
            </w:r>
          </w:p>
        </w:tc>
      </w:tr>
      <w:tr w:rsidR="000D1D20" w14:paraId="21F5218F" w14:textId="77777777" w:rsidTr="001355DB">
        <w:tc>
          <w:tcPr>
            <w:tcW w:w="0" w:type="auto"/>
            <w:vAlign w:val="center"/>
          </w:tcPr>
          <w:p w14:paraId="31EB7D59" w14:textId="77777777" w:rsidR="000D1D20" w:rsidRDefault="000D1D20" w:rsidP="001355DB">
            <w:pPr>
              <w:pStyle w:val="TableText"/>
            </w:pPr>
            <w:r w:rsidRPr="000856DF">
              <w:t>Notification on title (NR3)</w:t>
            </w:r>
          </w:p>
        </w:tc>
        <w:tc>
          <w:tcPr>
            <w:tcW w:w="0" w:type="auto"/>
            <w:vAlign w:val="center"/>
          </w:tcPr>
          <w:p w14:paraId="3234808F" w14:textId="77777777" w:rsidR="000D1D20" w:rsidRDefault="000D1D20" w:rsidP="00FF5CBF">
            <w:pPr>
              <w:pStyle w:val="ListBullet0"/>
              <w:numPr>
                <w:ilvl w:val="0"/>
                <w:numId w:val="53"/>
              </w:numPr>
              <w:spacing w:beforeLines="40" w:before="96" w:afterLines="40" w:after="96" w:line="240" w:lineRule="auto"/>
            </w:pPr>
            <w:r>
              <w:t>Item cost for investigations and implementation plans</w:t>
            </w:r>
          </w:p>
        </w:tc>
        <w:tc>
          <w:tcPr>
            <w:tcW w:w="0" w:type="auto"/>
          </w:tcPr>
          <w:p w14:paraId="2334B924" w14:textId="77777777" w:rsidR="000D1D20" w:rsidRDefault="000D1D20" w:rsidP="00FF5CBF">
            <w:pPr>
              <w:pStyle w:val="ListBullet0"/>
              <w:numPr>
                <w:ilvl w:val="0"/>
                <w:numId w:val="53"/>
              </w:numPr>
              <w:spacing w:beforeLines="40" w:before="96" w:afterLines="40" w:after="96" w:line="240" w:lineRule="auto"/>
            </w:pPr>
            <w:r>
              <w:t>LGA</w:t>
            </w:r>
          </w:p>
          <w:p w14:paraId="38AF6B57" w14:textId="77777777" w:rsidR="000D1D20" w:rsidRDefault="000D1D20" w:rsidP="00FF5CBF">
            <w:pPr>
              <w:pStyle w:val="ListBullet0"/>
              <w:numPr>
                <w:ilvl w:val="0"/>
                <w:numId w:val="53"/>
              </w:numPr>
              <w:spacing w:beforeLines="40" w:before="96" w:afterLines="40" w:after="96" w:line="240" w:lineRule="auto"/>
            </w:pPr>
            <w:r>
              <w:t>Can seek support and assistance from DPLH, WALGA</w:t>
            </w:r>
          </w:p>
        </w:tc>
        <w:tc>
          <w:tcPr>
            <w:tcW w:w="0" w:type="auto"/>
          </w:tcPr>
          <w:p w14:paraId="3CB5AEDA" w14:textId="77777777" w:rsidR="000D1D20" w:rsidRDefault="000D1D20" w:rsidP="00FF5CBF">
            <w:pPr>
              <w:pStyle w:val="ListBullet0"/>
              <w:numPr>
                <w:ilvl w:val="0"/>
                <w:numId w:val="53"/>
              </w:numPr>
              <w:spacing w:beforeLines="40" w:before="96" w:afterLines="40" w:after="96" w:line="240" w:lineRule="auto"/>
            </w:pPr>
            <w:r>
              <w:t>Completed CHRMAP</w:t>
            </w:r>
          </w:p>
        </w:tc>
        <w:tc>
          <w:tcPr>
            <w:tcW w:w="0" w:type="auto"/>
          </w:tcPr>
          <w:p w14:paraId="2101B2DF" w14:textId="77777777" w:rsidR="000D1D20" w:rsidRDefault="000D1D20" w:rsidP="00FF5CBF">
            <w:pPr>
              <w:pStyle w:val="ListBullet0"/>
              <w:numPr>
                <w:ilvl w:val="0"/>
                <w:numId w:val="53"/>
              </w:numPr>
              <w:spacing w:beforeLines="40" w:before="96" w:afterLines="40" w:after="96" w:line="240" w:lineRule="auto"/>
              <w:jc w:val="left"/>
            </w:pPr>
            <w:r>
              <w:t>$50,000</w:t>
            </w:r>
          </w:p>
          <w:p w14:paraId="5937C809" w14:textId="77777777" w:rsidR="000D1D20" w:rsidRDefault="000D1D20" w:rsidP="00FF5CBF">
            <w:pPr>
              <w:pStyle w:val="ListBullet0"/>
              <w:numPr>
                <w:ilvl w:val="0"/>
                <w:numId w:val="53"/>
              </w:numPr>
              <w:spacing w:beforeLines="40" w:before="96" w:afterLines="40" w:after="96" w:line="240" w:lineRule="auto"/>
              <w:jc w:val="left"/>
            </w:pPr>
            <w:r>
              <w:t>(Plus 1% annual maintenance of $500)</w:t>
            </w:r>
          </w:p>
        </w:tc>
        <w:tc>
          <w:tcPr>
            <w:tcW w:w="1736" w:type="dxa"/>
          </w:tcPr>
          <w:p w14:paraId="4C01F5DC" w14:textId="77777777" w:rsidR="000D1D20" w:rsidRDefault="000D1D20" w:rsidP="00FF5CBF">
            <w:pPr>
              <w:pStyle w:val="ListBullet0"/>
              <w:numPr>
                <w:ilvl w:val="0"/>
                <w:numId w:val="53"/>
              </w:numPr>
              <w:spacing w:beforeLines="40" w:before="96" w:afterLines="40" w:after="96" w:line="240" w:lineRule="auto"/>
            </w:pPr>
            <w:r>
              <w:t>Operational</w:t>
            </w:r>
          </w:p>
          <w:p w14:paraId="0241C4AE" w14:textId="77777777" w:rsidR="000D1D20" w:rsidRDefault="000D1D20" w:rsidP="00FF5CBF">
            <w:pPr>
              <w:pStyle w:val="ListBullet0"/>
              <w:numPr>
                <w:ilvl w:val="0"/>
                <w:numId w:val="53"/>
              </w:numPr>
              <w:spacing w:beforeLines="40" w:before="96" w:afterLines="40" w:after="96" w:line="240" w:lineRule="auto"/>
            </w:pPr>
            <w:r>
              <w:t>Grants (e.g. CMPAP)</w:t>
            </w:r>
          </w:p>
        </w:tc>
        <w:tc>
          <w:tcPr>
            <w:tcW w:w="728" w:type="dxa"/>
          </w:tcPr>
          <w:p w14:paraId="3022ECD4" w14:textId="77777777" w:rsidR="000D1D20" w:rsidRDefault="000D1D20" w:rsidP="001355DB">
            <w:pPr>
              <w:pStyle w:val="TableText"/>
            </w:pPr>
            <w:r>
              <w:t>x</w:t>
            </w:r>
          </w:p>
        </w:tc>
        <w:tc>
          <w:tcPr>
            <w:tcW w:w="0" w:type="auto"/>
          </w:tcPr>
          <w:p w14:paraId="46E43B89" w14:textId="77777777" w:rsidR="000D1D20" w:rsidRDefault="000D1D20" w:rsidP="001355DB">
            <w:pPr>
              <w:pStyle w:val="TableText"/>
            </w:pPr>
            <w:r>
              <w:t>x</w:t>
            </w:r>
          </w:p>
        </w:tc>
        <w:tc>
          <w:tcPr>
            <w:tcW w:w="0" w:type="auto"/>
          </w:tcPr>
          <w:p w14:paraId="3CCCE24B" w14:textId="77777777" w:rsidR="000D1D20" w:rsidRDefault="000D1D20" w:rsidP="001355DB">
            <w:pPr>
              <w:pStyle w:val="TableText"/>
            </w:pPr>
          </w:p>
        </w:tc>
        <w:tc>
          <w:tcPr>
            <w:tcW w:w="0" w:type="auto"/>
          </w:tcPr>
          <w:p w14:paraId="1B1223D3" w14:textId="77777777" w:rsidR="000D1D20" w:rsidRDefault="000D1D20" w:rsidP="001355DB">
            <w:pPr>
              <w:pStyle w:val="TableText"/>
            </w:pPr>
          </w:p>
        </w:tc>
      </w:tr>
      <w:tr w:rsidR="000D1D20" w14:paraId="44E8F220" w14:textId="77777777" w:rsidTr="001355DB">
        <w:tc>
          <w:tcPr>
            <w:tcW w:w="0" w:type="auto"/>
            <w:vAlign w:val="center"/>
          </w:tcPr>
          <w:p w14:paraId="54151E80" w14:textId="77777777" w:rsidR="000D1D20" w:rsidRPr="00900039" w:rsidRDefault="000D1D20" w:rsidP="001355DB">
            <w:pPr>
              <w:pStyle w:val="TableText"/>
            </w:pPr>
            <w:r w:rsidRPr="00900039">
              <w:t>Protection Structure Audit (NR2)</w:t>
            </w:r>
          </w:p>
        </w:tc>
        <w:tc>
          <w:tcPr>
            <w:tcW w:w="0" w:type="auto"/>
            <w:vAlign w:val="center"/>
          </w:tcPr>
          <w:p w14:paraId="493FED24" w14:textId="77777777" w:rsidR="000D1D20" w:rsidRPr="00900039" w:rsidRDefault="000D1D20" w:rsidP="00FF5CBF">
            <w:pPr>
              <w:pStyle w:val="ListBullet0"/>
              <w:numPr>
                <w:ilvl w:val="0"/>
                <w:numId w:val="53"/>
              </w:numPr>
              <w:spacing w:beforeLines="40" w:before="96" w:afterLines="40" w:after="96" w:line="240" w:lineRule="auto"/>
            </w:pPr>
            <w:r>
              <w:t>Item cost to inspect coastal asset condition, influence on sediment transport and inundation and remaining design life on all coastal management structures</w:t>
            </w:r>
          </w:p>
          <w:p w14:paraId="34795359" w14:textId="77777777" w:rsidR="000D1D20" w:rsidRPr="00900039" w:rsidRDefault="000D1D20" w:rsidP="00FF5CBF">
            <w:pPr>
              <w:pStyle w:val="ListBullet0"/>
              <w:numPr>
                <w:ilvl w:val="0"/>
                <w:numId w:val="53"/>
              </w:numPr>
              <w:spacing w:beforeLines="40" w:before="96" w:afterLines="40" w:after="96" w:line="240" w:lineRule="auto"/>
            </w:pPr>
            <w:r>
              <w:t>Includes revetments at Princess Royal Sailing Club and informal revetment structures between Rushy Point and the Sailing Club</w:t>
            </w:r>
          </w:p>
        </w:tc>
        <w:tc>
          <w:tcPr>
            <w:tcW w:w="0" w:type="auto"/>
          </w:tcPr>
          <w:p w14:paraId="2D7F4BEF" w14:textId="77777777" w:rsidR="000D1D20" w:rsidRDefault="000D1D20" w:rsidP="00FF5CBF">
            <w:pPr>
              <w:pStyle w:val="ListBullet0"/>
              <w:numPr>
                <w:ilvl w:val="0"/>
                <w:numId w:val="53"/>
              </w:numPr>
              <w:spacing w:beforeLines="40" w:before="96" w:afterLines="40" w:after="96" w:line="240" w:lineRule="auto"/>
            </w:pPr>
            <w:r>
              <w:t>LGA</w:t>
            </w:r>
          </w:p>
          <w:p w14:paraId="0790D80F" w14:textId="77777777" w:rsidR="000D1D20" w:rsidRDefault="000D1D20" w:rsidP="00FF5CBF">
            <w:pPr>
              <w:pStyle w:val="ListBullet0"/>
              <w:numPr>
                <w:ilvl w:val="0"/>
                <w:numId w:val="53"/>
              </w:numPr>
              <w:spacing w:beforeLines="40" w:before="96" w:afterLines="40" w:after="96" w:line="240" w:lineRule="auto"/>
            </w:pPr>
            <w:r>
              <w:t>Princess Royal Sailing Club</w:t>
            </w:r>
          </w:p>
        </w:tc>
        <w:tc>
          <w:tcPr>
            <w:tcW w:w="0" w:type="auto"/>
          </w:tcPr>
          <w:p w14:paraId="5ABD6ED2" w14:textId="77777777" w:rsidR="000D1D20" w:rsidRDefault="000D1D20" w:rsidP="00FF5CBF">
            <w:pPr>
              <w:pStyle w:val="ListBullet0"/>
              <w:numPr>
                <w:ilvl w:val="0"/>
                <w:numId w:val="53"/>
              </w:numPr>
              <w:spacing w:beforeLines="40" w:before="96" w:afterLines="40" w:after="96" w:line="240" w:lineRule="auto"/>
            </w:pPr>
            <w:r>
              <w:t>Completed CHRMAP</w:t>
            </w:r>
          </w:p>
        </w:tc>
        <w:tc>
          <w:tcPr>
            <w:tcW w:w="0" w:type="auto"/>
          </w:tcPr>
          <w:p w14:paraId="3051510C" w14:textId="77777777" w:rsidR="000D1D20" w:rsidRDefault="000D1D20" w:rsidP="00FF5CBF">
            <w:pPr>
              <w:pStyle w:val="ListBullet0"/>
              <w:numPr>
                <w:ilvl w:val="0"/>
                <w:numId w:val="53"/>
              </w:numPr>
              <w:spacing w:beforeLines="40" w:before="96" w:afterLines="40" w:after="96" w:line="240" w:lineRule="auto"/>
              <w:jc w:val="left"/>
            </w:pPr>
            <w:r>
              <w:t>$30,000</w:t>
            </w:r>
          </w:p>
          <w:p w14:paraId="3A9EFC45" w14:textId="77777777" w:rsidR="000D1D20" w:rsidRDefault="000D1D20" w:rsidP="00FF5CBF">
            <w:pPr>
              <w:pStyle w:val="ListBullet0"/>
              <w:numPr>
                <w:ilvl w:val="0"/>
                <w:numId w:val="53"/>
              </w:numPr>
              <w:spacing w:beforeLines="40" w:before="96" w:afterLines="40" w:after="96" w:line="240" w:lineRule="auto"/>
              <w:jc w:val="left"/>
            </w:pPr>
            <w:r>
              <w:t>(Plus 2% annual maintenance of $600)</w:t>
            </w:r>
          </w:p>
        </w:tc>
        <w:tc>
          <w:tcPr>
            <w:tcW w:w="1736" w:type="dxa"/>
          </w:tcPr>
          <w:p w14:paraId="0040C4C7" w14:textId="77777777" w:rsidR="000D1D20" w:rsidRDefault="000D1D20" w:rsidP="00FF5CBF">
            <w:pPr>
              <w:pStyle w:val="ListBullet0"/>
              <w:numPr>
                <w:ilvl w:val="0"/>
                <w:numId w:val="53"/>
              </w:numPr>
              <w:spacing w:beforeLines="40" w:before="96" w:afterLines="40" w:after="96" w:line="240" w:lineRule="auto"/>
            </w:pPr>
            <w:r>
              <w:t>Operational</w:t>
            </w:r>
          </w:p>
          <w:p w14:paraId="4FC9B460" w14:textId="77777777" w:rsidR="000D1D20" w:rsidRDefault="000D1D20" w:rsidP="00FF5CBF">
            <w:pPr>
              <w:pStyle w:val="ListBullet0"/>
              <w:numPr>
                <w:ilvl w:val="0"/>
                <w:numId w:val="53"/>
              </w:numPr>
              <w:spacing w:beforeLines="40" w:before="96" w:afterLines="40" w:after="96" w:line="240" w:lineRule="auto"/>
            </w:pPr>
            <w:r>
              <w:t>Grants (e.g. CAP)</w:t>
            </w:r>
          </w:p>
        </w:tc>
        <w:tc>
          <w:tcPr>
            <w:tcW w:w="728" w:type="dxa"/>
          </w:tcPr>
          <w:p w14:paraId="0819958E" w14:textId="77777777" w:rsidR="000D1D20" w:rsidRDefault="000D1D20" w:rsidP="001355DB">
            <w:pPr>
              <w:pStyle w:val="TableText"/>
            </w:pPr>
          </w:p>
        </w:tc>
        <w:tc>
          <w:tcPr>
            <w:tcW w:w="0" w:type="auto"/>
          </w:tcPr>
          <w:p w14:paraId="588B1FCF" w14:textId="77777777" w:rsidR="000D1D20" w:rsidRDefault="000D1D20" w:rsidP="001355DB">
            <w:pPr>
              <w:pStyle w:val="TableText"/>
            </w:pPr>
            <w:r>
              <w:t>x</w:t>
            </w:r>
          </w:p>
        </w:tc>
        <w:tc>
          <w:tcPr>
            <w:tcW w:w="0" w:type="auto"/>
          </w:tcPr>
          <w:p w14:paraId="6C501D04" w14:textId="77777777" w:rsidR="000D1D20" w:rsidRDefault="000D1D20" w:rsidP="001355DB">
            <w:pPr>
              <w:pStyle w:val="TableText"/>
            </w:pPr>
            <w:r>
              <w:t>x</w:t>
            </w:r>
          </w:p>
        </w:tc>
        <w:tc>
          <w:tcPr>
            <w:tcW w:w="0" w:type="auto"/>
          </w:tcPr>
          <w:p w14:paraId="587613F8" w14:textId="77777777" w:rsidR="000D1D20" w:rsidRDefault="000D1D20" w:rsidP="001355DB">
            <w:pPr>
              <w:pStyle w:val="TableText"/>
            </w:pPr>
          </w:p>
        </w:tc>
      </w:tr>
      <w:tr w:rsidR="000D1D20" w14:paraId="494D0507" w14:textId="77777777" w:rsidTr="001355DB">
        <w:tc>
          <w:tcPr>
            <w:tcW w:w="0" w:type="auto"/>
            <w:vAlign w:val="center"/>
          </w:tcPr>
          <w:p w14:paraId="379D9815" w14:textId="77777777" w:rsidR="000D1D20" w:rsidRDefault="000D1D20" w:rsidP="001355DB">
            <w:pPr>
              <w:pStyle w:val="TableText"/>
            </w:pPr>
            <w:r w:rsidRPr="000856DF">
              <w:t>Emergency evacuation plans (NR4)</w:t>
            </w:r>
          </w:p>
        </w:tc>
        <w:tc>
          <w:tcPr>
            <w:tcW w:w="0" w:type="auto"/>
            <w:vAlign w:val="center"/>
          </w:tcPr>
          <w:p w14:paraId="33E02B08" w14:textId="77777777" w:rsidR="000D1D20" w:rsidRDefault="000D1D20" w:rsidP="00FF5CBF">
            <w:pPr>
              <w:pStyle w:val="ListBullet0"/>
              <w:numPr>
                <w:ilvl w:val="0"/>
                <w:numId w:val="53"/>
              </w:numPr>
              <w:spacing w:beforeLines="40" w:before="96" w:afterLines="40" w:after="96" w:line="240" w:lineRule="auto"/>
            </w:pPr>
            <w:r>
              <w:t>Item cost for investigations and evacuation plans</w:t>
            </w:r>
          </w:p>
        </w:tc>
        <w:tc>
          <w:tcPr>
            <w:tcW w:w="0" w:type="auto"/>
          </w:tcPr>
          <w:p w14:paraId="39DF9DBC" w14:textId="77777777" w:rsidR="000D1D20" w:rsidRDefault="000D1D20" w:rsidP="00FF5CBF">
            <w:pPr>
              <w:pStyle w:val="ListBullet0"/>
              <w:numPr>
                <w:ilvl w:val="0"/>
                <w:numId w:val="53"/>
              </w:numPr>
              <w:spacing w:beforeLines="40" w:before="96" w:afterLines="40" w:after="96" w:line="240" w:lineRule="auto"/>
            </w:pPr>
            <w:r>
              <w:t>LGA</w:t>
            </w:r>
          </w:p>
        </w:tc>
        <w:tc>
          <w:tcPr>
            <w:tcW w:w="0" w:type="auto"/>
          </w:tcPr>
          <w:p w14:paraId="52B3083E" w14:textId="77777777" w:rsidR="000D1D20" w:rsidRDefault="000D1D20" w:rsidP="00FF5CBF">
            <w:pPr>
              <w:pStyle w:val="ListBullet0"/>
              <w:numPr>
                <w:ilvl w:val="0"/>
                <w:numId w:val="53"/>
              </w:numPr>
              <w:spacing w:beforeLines="40" w:before="96" w:afterLines="40" w:after="96" w:line="240" w:lineRule="auto"/>
            </w:pPr>
            <w:r>
              <w:t>Completed CHRMAP</w:t>
            </w:r>
          </w:p>
        </w:tc>
        <w:tc>
          <w:tcPr>
            <w:tcW w:w="0" w:type="auto"/>
          </w:tcPr>
          <w:p w14:paraId="39500F49" w14:textId="77777777" w:rsidR="000D1D20" w:rsidRDefault="000D1D20" w:rsidP="00FF5CBF">
            <w:pPr>
              <w:pStyle w:val="ListBullet0"/>
              <w:numPr>
                <w:ilvl w:val="0"/>
                <w:numId w:val="53"/>
              </w:numPr>
              <w:spacing w:beforeLines="40" w:before="96" w:afterLines="40" w:after="96" w:line="240" w:lineRule="auto"/>
              <w:jc w:val="left"/>
            </w:pPr>
            <w:r>
              <w:t>$100,000</w:t>
            </w:r>
          </w:p>
          <w:p w14:paraId="4F67386A" w14:textId="77777777" w:rsidR="000D1D20" w:rsidRDefault="000D1D20" w:rsidP="00FF5CBF">
            <w:pPr>
              <w:pStyle w:val="ListBullet0"/>
              <w:numPr>
                <w:ilvl w:val="0"/>
                <w:numId w:val="53"/>
              </w:numPr>
              <w:spacing w:beforeLines="40" w:before="96" w:afterLines="40" w:after="96" w:line="240" w:lineRule="auto"/>
              <w:jc w:val="left"/>
            </w:pPr>
            <w:r>
              <w:t>(Plus 1% annual maintenance of $1,000)</w:t>
            </w:r>
          </w:p>
        </w:tc>
        <w:tc>
          <w:tcPr>
            <w:tcW w:w="1736" w:type="dxa"/>
          </w:tcPr>
          <w:p w14:paraId="45EC0CA1" w14:textId="77777777" w:rsidR="000D1D20" w:rsidRDefault="000D1D20" w:rsidP="00FF5CBF">
            <w:pPr>
              <w:pStyle w:val="ListBullet0"/>
              <w:numPr>
                <w:ilvl w:val="0"/>
                <w:numId w:val="53"/>
              </w:numPr>
              <w:spacing w:beforeLines="40" w:before="96" w:afterLines="40" w:after="96" w:line="240" w:lineRule="auto"/>
            </w:pPr>
            <w:r>
              <w:t>Operational</w:t>
            </w:r>
          </w:p>
          <w:p w14:paraId="0BAD5954" w14:textId="77777777" w:rsidR="000D1D20" w:rsidRDefault="000D1D20" w:rsidP="00FF5CBF">
            <w:pPr>
              <w:pStyle w:val="ListBullet0"/>
              <w:numPr>
                <w:ilvl w:val="0"/>
                <w:numId w:val="53"/>
              </w:numPr>
              <w:spacing w:beforeLines="40" w:before="96" w:afterLines="40" w:after="96" w:line="240" w:lineRule="auto"/>
            </w:pPr>
            <w:r>
              <w:t>Grants (e.g. DRF)</w:t>
            </w:r>
          </w:p>
        </w:tc>
        <w:tc>
          <w:tcPr>
            <w:tcW w:w="728" w:type="dxa"/>
          </w:tcPr>
          <w:p w14:paraId="1448A104" w14:textId="77777777" w:rsidR="000D1D20" w:rsidRDefault="000D1D20" w:rsidP="001355DB">
            <w:pPr>
              <w:pStyle w:val="TableText"/>
            </w:pPr>
            <w:r>
              <w:t>x</w:t>
            </w:r>
          </w:p>
        </w:tc>
        <w:tc>
          <w:tcPr>
            <w:tcW w:w="0" w:type="auto"/>
          </w:tcPr>
          <w:p w14:paraId="4155E474" w14:textId="77777777" w:rsidR="000D1D20" w:rsidRDefault="000D1D20" w:rsidP="001355DB">
            <w:pPr>
              <w:pStyle w:val="TableText"/>
            </w:pPr>
            <w:r>
              <w:t>x</w:t>
            </w:r>
          </w:p>
        </w:tc>
        <w:tc>
          <w:tcPr>
            <w:tcW w:w="0" w:type="auto"/>
          </w:tcPr>
          <w:p w14:paraId="172A135B" w14:textId="77777777" w:rsidR="000D1D20" w:rsidRDefault="000D1D20" w:rsidP="001355DB">
            <w:pPr>
              <w:pStyle w:val="TableText"/>
            </w:pPr>
          </w:p>
        </w:tc>
        <w:tc>
          <w:tcPr>
            <w:tcW w:w="0" w:type="auto"/>
          </w:tcPr>
          <w:p w14:paraId="44353C09" w14:textId="77777777" w:rsidR="000D1D20" w:rsidRDefault="000D1D20" w:rsidP="001355DB">
            <w:pPr>
              <w:pStyle w:val="TableText"/>
            </w:pPr>
          </w:p>
        </w:tc>
      </w:tr>
      <w:tr w:rsidR="000D1D20" w14:paraId="496B91B6" w14:textId="77777777" w:rsidTr="001355DB">
        <w:tc>
          <w:tcPr>
            <w:tcW w:w="0" w:type="auto"/>
            <w:vAlign w:val="center"/>
          </w:tcPr>
          <w:p w14:paraId="2AC6BCA1" w14:textId="77777777" w:rsidR="000D1D20" w:rsidRDefault="000D1D20" w:rsidP="001355DB">
            <w:pPr>
              <w:pStyle w:val="TableText"/>
            </w:pPr>
            <w:r w:rsidRPr="000856DF">
              <w:lastRenderedPageBreak/>
              <w:t>Demolition / removal / relocation of asset from inside hazard area (PMR2)</w:t>
            </w:r>
          </w:p>
        </w:tc>
        <w:tc>
          <w:tcPr>
            <w:tcW w:w="0" w:type="auto"/>
            <w:vAlign w:val="center"/>
          </w:tcPr>
          <w:p w14:paraId="253F3339" w14:textId="77777777" w:rsidR="000D1D20" w:rsidRDefault="000D1D20" w:rsidP="00FF5CBF">
            <w:pPr>
              <w:pStyle w:val="ListBullet0"/>
              <w:numPr>
                <w:ilvl w:val="0"/>
                <w:numId w:val="53"/>
              </w:numPr>
              <w:spacing w:beforeLines="40" w:before="96" w:afterLines="40" w:after="96" w:line="240" w:lineRule="auto"/>
            </w:pPr>
            <w:r>
              <w:t>Preparation of Asset Management Plan</w:t>
            </w:r>
          </w:p>
          <w:p w14:paraId="049CD72B" w14:textId="77777777" w:rsidR="000D1D20" w:rsidRDefault="000D1D20" w:rsidP="00FF5CBF">
            <w:pPr>
              <w:pStyle w:val="ListBullet0"/>
              <w:numPr>
                <w:ilvl w:val="0"/>
                <w:numId w:val="53"/>
              </w:numPr>
              <w:spacing w:beforeLines="40" w:before="96" w:afterLines="40" w:after="96" w:line="240" w:lineRule="auto"/>
            </w:pPr>
            <w:r>
              <w:t>To 2047 for public-built assets</w:t>
            </w:r>
          </w:p>
          <w:p w14:paraId="0FF74EB6" w14:textId="77777777" w:rsidR="000D1D20" w:rsidRDefault="000D1D20" w:rsidP="00FF5CBF">
            <w:pPr>
              <w:pStyle w:val="ListBullet0"/>
              <w:numPr>
                <w:ilvl w:val="0"/>
                <w:numId w:val="53"/>
              </w:numPr>
              <w:spacing w:beforeLines="40" w:before="96" w:afterLines="40" w:after="96" w:line="240" w:lineRule="auto"/>
            </w:pPr>
            <w:r>
              <w:t>Maintenance assumes ongoing allowance for foreshore reserve</w:t>
            </w:r>
          </w:p>
          <w:p w14:paraId="1D93578A" w14:textId="77777777" w:rsidR="000D1D20" w:rsidRDefault="000D1D20" w:rsidP="00FF5CBF">
            <w:pPr>
              <w:pStyle w:val="ListBullet0"/>
              <w:numPr>
                <w:ilvl w:val="0"/>
                <w:numId w:val="53"/>
              </w:numPr>
              <w:spacing w:beforeLines="40" w:before="96" w:afterLines="40" w:after="96" w:line="240" w:lineRule="auto"/>
            </w:pPr>
            <w:r>
              <w:t>Removal / Relocation of assets as required</w:t>
            </w:r>
          </w:p>
        </w:tc>
        <w:tc>
          <w:tcPr>
            <w:tcW w:w="0" w:type="auto"/>
          </w:tcPr>
          <w:p w14:paraId="3891FE2F" w14:textId="77777777" w:rsidR="000D1D20" w:rsidRDefault="000D1D20" w:rsidP="00FF5CBF">
            <w:pPr>
              <w:pStyle w:val="ListBullet0"/>
              <w:numPr>
                <w:ilvl w:val="0"/>
                <w:numId w:val="53"/>
              </w:numPr>
              <w:spacing w:beforeLines="40" w:before="96" w:afterLines="40" w:after="96" w:line="240" w:lineRule="auto"/>
            </w:pPr>
            <w:r>
              <w:t>LGA</w:t>
            </w:r>
          </w:p>
        </w:tc>
        <w:tc>
          <w:tcPr>
            <w:tcW w:w="0" w:type="auto"/>
          </w:tcPr>
          <w:p w14:paraId="53D11BA1" w14:textId="77777777" w:rsidR="000D1D20" w:rsidRDefault="000D1D20" w:rsidP="00FF5CBF">
            <w:pPr>
              <w:pStyle w:val="ListBullet0"/>
              <w:numPr>
                <w:ilvl w:val="0"/>
                <w:numId w:val="53"/>
              </w:numPr>
              <w:spacing w:beforeLines="40" w:before="96" w:afterLines="40" w:after="96" w:line="240" w:lineRule="auto"/>
            </w:pPr>
            <w:r>
              <w:t>Audit of assets within 2047 erosion and inundation hazard zone and identification of assets where damage would be unacceptable</w:t>
            </w:r>
          </w:p>
        </w:tc>
        <w:tc>
          <w:tcPr>
            <w:tcW w:w="0" w:type="auto"/>
          </w:tcPr>
          <w:p w14:paraId="181DBF11" w14:textId="77777777" w:rsidR="000D1D20" w:rsidRPr="00EC4DAD" w:rsidRDefault="000D1D20" w:rsidP="00FF5CBF">
            <w:pPr>
              <w:pStyle w:val="ListBullet0"/>
              <w:numPr>
                <w:ilvl w:val="0"/>
                <w:numId w:val="53"/>
              </w:numPr>
              <w:spacing w:beforeLines="40" w:before="96" w:afterLines="40" w:after="96" w:line="240" w:lineRule="auto"/>
              <w:jc w:val="left"/>
            </w:pPr>
            <w:r>
              <w:t>$1,095,000</w:t>
            </w:r>
          </w:p>
          <w:p w14:paraId="48379EE8" w14:textId="77777777" w:rsidR="000D1D20" w:rsidRDefault="000D1D20" w:rsidP="00FF5CBF">
            <w:pPr>
              <w:pStyle w:val="ListBullet0"/>
              <w:numPr>
                <w:ilvl w:val="0"/>
                <w:numId w:val="53"/>
              </w:numPr>
              <w:spacing w:beforeLines="40" w:before="96" w:afterLines="40" w:after="96" w:line="240" w:lineRule="auto"/>
              <w:jc w:val="left"/>
            </w:pPr>
            <w:r>
              <w:t>(Plus 1% annual maintenance of $10,950)</w:t>
            </w:r>
          </w:p>
        </w:tc>
        <w:tc>
          <w:tcPr>
            <w:tcW w:w="1736" w:type="dxa"/>
          </w:tcPr>
          <w:p w14:paraId="18D7F8CF" w14:textId="77777777" w:rsidR="000D1D20" w:rsidRDefault="000D1D20" w:rsidP="00FF5CBF">
            <w:pPr>
              <w:pStyle w:val="ListBullet0"/>
              <w:numPr>
                <w:ilvl w:val="0"/>
                <w:numId w:val="53"/>
              </w:numPr>
              <w:spacing w:beforeLines="40" w:before="96" w:afterLines="40" w:after="96" w:line="240" w:lineRule="auto"/>
            </w:pPr>
            <w:r>
              <w:t>Operational</w:t>
            </w:r>
          </w:p>
          <w:p w14:paraId="3070DE77" w14:textId="77777777" w:rsidR="000D1D20" w:rsidRDefault="000D1D20" w:rsidP="00FF5CBF">
            <w:pPr>
              <w:pStyle w:val="ListBullet0"/>
              <w:numPr>
                <w:ilvl w:val="0"/>
                <w:numId w:val="53"/>
              </w:numPr>
              <w:spacing w:beforeLines="40" w:before="96" w:afterLines="40" w:after="96" w:line="240" w:lineRule="auto"/>
            </w:pPr>
            <w:r>
              <w:t>Grants</w:t>
            </w:r>
          </w:p>
        </w:tc>
        <w:tc>
          <w:tcPr>
            <w:tcW w:w="728" w:type="dxa"/>
          </w:tcPr>
          <w:p w14:paraId="751336B8" w14:textId="77777777" w:rsidR="000D1D20" w:rsidRDefault="000D1D20" w:rsidP="001355DB">
            <w:pPr>
              <w:pStyle w:val="TableText"/>
            </w:pPr>
            <w:r>
              <w:t>x</w:t>
            </w:r>
          </w:p>
        </w:tc>
        <w:tc>
          <w:tcPr>
            <w:tcW w:w="0" w:type="auto"/>
          </w:tcPr>
          <w:p w14:paraId="7D273996" w14:textId="77777777" w:rsidR="000D1D20" w:rsidRDefault="000D1D20" w:rsidP="001355DB">
            <w:pPr>
              <w:pStyle w:val="TableText"/>
            </w:pPr>
            <w:r>
              <w:t>x</w:t>
            </w:r>
          </w:p>
        </w:tc>
        <w:tc>
          <w:tcPr>
            <w:tcW w:w="0" w:type="auto"/>
          </w:tcPr>
          <w:p w14:paraId="64D91C5C" w14:textId="77777777" w:rsidR="000D1D20" w:rsidRDefault="000D1D20" w:rsidP="001355DB">
            <w:pPr>
              <w:pStyle w:val="TableText"/>
            </w:pPr>
            <w:r>
              <w:t>x</w:t>
            </w:r>
          </w:p>
        </w:tc>
        <w:tc>
          <w:tcPr>
            <w:tcW w:w="0" w:type="auto"/>
          </w:tcPr>
          <w:p w14:paraId="7821F2C6" w14:textId="77777777" w:rsidR="000D1D20" w:rsidRDefault="000D1D20" w:rsidP="001355DB">
            <w:pPr>
              <w:pStyle w:val="TableText"/>
            </w:pPr>
          </w:p>
        </w:tc>
      </w:tr>
      <w:tr w:rsidR="000D1D20" w14:paraId="1D6FE63E" w14:textId="77777777" w:rsidTr="001355DB">
        <w:tc>
          <w:tcPr>
            <w:tcW w:w="0" w:type="auto"/>
            <w:vAlign w:val="center"/>
          </w:tcPr>
          <w:p w14:paraId="3EC1CFA7" w14:textId="77777777" w:rsidR="000D1D20" w:rsidRDefault="000D1D20" w:rsidP="001355DB">
            <w:pPr>
              <w:pStyle w:val="TableText"/>
            </w:pPr>
            <w:r w:rsidRPr="000856DF">
              <w:t>Prevention of further development / prohibit expansion of existing use rights (PMR3)</w:t>
            </w:r>
          </w:p>
        </w:tc>
        <w:tc>
          <w:tcPr>
            <w:tcW w:w="0" w:type="auto"/>
            <w:vAlign w:val="center"/>
          </w:tcPr>
          <w:p w14:paraId="2C482006" w14:textId="77777777" w:rsidR="000D1D20" w:rsidRDefault="000D1D20" w:rsidP="00FF5CBF">
            <w:pPr>
              <w:pStyle w:val="ListBullet0"/>
              <w:numPr>
                <w:ilvl w:val="0"/>
                <w:numId w:val="52"/>
              </w:numPr>
              <w:spacing w:beforeLines="40" w:before="96" w:afterLines="40" w:after="96" w:line="240" w:lineRule="auto"/>
            </w:pPr>
            <w:r>
              <w:t>Item cost for investigations and management plans</w:t>
            </w:r>
          </w:p>
          <w:p w14:paraId="66013E4D" w14:textId="77777777" w:rsidR="000D1D20" w:rsidRDefault="000D1D20" w:rsidP="00FF5CBF">
            <w:pPr>
              <w:pStyle w:val="ListBullet0"/>
              <w:numPr>
                <w:ilvl w:val="0"/>
                <w:numId w:val="52"/>
              </w:numPr>
              <w:spacing w:beforeLines="40" w:before="96" w:afterLines="40" w:after="96" w:line="240" w:lineRule="auto"/>
            </w:pPr>
            <w:r>
              <w:t>Investigate opportunities for leaseback of land and land swaps in the context of planned and managed retreat. Seek legal advice regarding the basis of agreements with landholders and whether opt-ins can be time constrained</w:t>
            </w:r>
          </w:p>
        </w:tc>
        <w:tc>
          <w:tcPr>
            <w:tcW w:w="0" w:type="auto"/>
          </w:tcPr>
          <w:p w14:paraId="58BFEBAF" w14:textId="77777777" w:rsidR="000D1D20" w:rsidRDefault="000D1D20" w:rsidP="00FF5CBF">
            <w:pPr>
              <w:pStyle w:val="ListBullet0"/>
              <w:numPr>
                <w:ilvl w:val="0"/>
                <w:numId w:val="52"/>
              </w:numPr>
              <w:spacing w:beforeLines="40" w:before="96" w:afterLines="40" w:after="96" w:line="240" w:lineRule="auto"/>
            </w:pPr>
            <w:r>
              <w:t>LGA</w:t>
            </w:r>
          </w:p>
        </w:tc>
        <w:tc>
          <w:tcPr>
            <w:tcW w:w="0" w:type="auto"/>
          </w:tcPr>
          <w:p w14:paraId="55C17F00" w14:textId="77777777" w:rsidR="000D1D20" w:rsidRDefault="000D1D20" w:rsidP="00FF5CBF">
            <w:pPr>
              <w:pStyle w:val="ListBullet0"/>
              <w:numPr>
                <w:ilvl w:val="0"/>
                <w:numId w:val="52"/>
              </w:numPr>
              <w:spacing w:beforeLines="40" w:before="96" w:afterLines="40" w:after="96" w:line="240" w:lineRule="auto"/>
            </w:pPr>
            <w:r>
              <w:t>Completed CHRMAP</w:t>
            </w:r>
          </w:p>
        </w:tc>
        <w:tc>
          <w:tcPr>
            <w:tcW w:w="0" w:type="auto"/>
          </w:tcPr>
          <w:p w14:paraId="7B320873" w14:textId="77777777" w:rsidR="000D1D20" w:rsidRDefault="000D1D20" w:rsidP="00FF5CBF">
            <w:pPr>
              <w:pStyle w:val="ListBullet0"/>
              <w:numPr>
                <w:ilvl w:val="0"/>
                <w:numId w:val="52"/>
              </w:numPr>
              <w:spacing w:beforeLines="40" w:before="96" w:afterLines="40" w:after="96" w:line="240" w:lineRule="auto"/>
              <w:jc w:val="left"/>
            </w:pPr>
            <w:r>
              <w:t>$30,000</w:t>
            </w:r>
          </w:p>
          <w:p w14:paraId="497B21BB" w14:textId="77777777" w:rsidR="000D1D20" w:rsidRDefault="000D1D20" w:rsidP="00FF5CBF">
            <w:pPr>
              <w:pStyle w:val="ListBullet0"/>
              <w:numPr>
                <w:ilvl w:val="0"/>
                <w:numId w:val="52"/>
              </w:numPr>
              <w:spacing w:beforeLines="40" w:before="96" w:afterLines="40" w:after="96" w:line="240" w:lineRule="auto"/>
              <w:jc w:val="left"/>
            </w:pPr>
            <w:r>
              <w:t>(Plus 1% annual maintenance of $300)</w:t>
            </w:r>
          </w:p>
        </w:tc>
        <w:tc>
          <w:tcPr>
            <w:tcW w:w="1736" w:type="dxa"/>
          </w:tcPr>
          <w:p w14:paraId="13C9E9D0" w14:textId="77777777" w:rsidR="000D1D20" w:rsidRDefault="000D1D20" w:rsidP="00FF5CBF">
            <w:pPr>
              <w:pStyle w:val="ListBullet0"/>
              <w:numPr>
                <w:ilvl w:val="0"/>
                <w:numId w:val="52"/>
              </w:numPr>
              <w:spacing w:beforeLines="40" w:before="96" w:afterLines="40" w:after="96" w:line="240" w:lineRule="auto"/>
            </w:pPr>
            <w:r>
              <w:t>Operational</w:t>
            </w:r>
          </w:p>
          <w:p w14:paraId="441B9319" w14:textId="77777777" w:rsidR="000D1D20" w:rsidRDefault="000D1D20" w:rsidP="00FF5CBF">
            <w:pPr>
              <w:pStyle w:val="ListBullet0"/>
              <w:numPr>
                <w:ilvl w:val="0"/>
                <w:numId w:val="52"/>
              </w:numPr>
              <w:spacing w:beforeLines="40" w:before="96" w:afterLines="40" w:after="96" w:line="240" w:lineRule="auto"/>
            </w:pPr>
            <w:r>
              <w:t>Grants (e.g. CMPAP)</w:t>
            </w:r>
          </w:p>
        </w:tc>
        <w:tc>
          <w:tcPr>
            <w:tcW w:w="728" w:type="dxa"/>
          </w:tcPr>
          <w:p w14:paraId="70E70B4F" w14:textId="77777777" w:rsidR="000D1D20" w:rsidRDefault="000D1D20" w:rsidP="001355DB">
            <w:pPr>
              <w:pStyle w:val="TableText"/>
            </w:pPr>
            <w:r>
              <w:t>x</w:t>
            </w:r>
          </w:p>
        </w:tc>
        <w:tc>
          <w:tcPr>
            <w:tcW w:w="0" w:type="auto"/>
          </w:tcPr>
          <w:p w14:paraId="6AA9BEBF" w14:textId="77777777" w:rsidR="000D1D20" w:rsidRDefault="000D1D20" w:rsidP="001355DB">
            <w:pPr>
              <w:pStyle w:val="TableText"/>
            </w:pPr>
            <w:r>
              <w:t>x</w:t>
            </w:r>
          </w:p>
        </w:tc>
        <w:tc>
          <w:tcPr>
            <w:tcW w:w="0" w:type="auto"/>
          </w:tcPr>
          <w:p w14:paraId="0D0798B4" w14:textId="77777777" w:rsidR="000D1D20" w:rsidRDefault="000D1D20" w:rsidP="001355DB">
            <w:pPr>
              <w:pStyle w:val="TableText"/>
            </w:pPr>
          </w:p>
        </w:tc>
        <w:tc>
          <w:tcPr>
            <w:tcW w:w="0" w:type="auto"/>
          </w:tcPr>
          <w:p w14:paraId="7779F9C5" w14:textId="77777777" w:rsidR="000D1D20" w:rsidRDefault="000D1D20" w:rsidP="001355DB">
            <w:pPr>
              <w:pStyle w:val="TableText"/>
            </w:pPr>
          </w:p>
        </w:tc>
      </w:tr>
      <w:tr w:rsidR="000D1D20" w14:paraId="625F39C5" w14:textId="77777777" w:rsidTr="001355DB">
        <w:tc>
          <w:tcPr>
            <w:tcW w:w="0" w:type="auto"/>
            <w:vAlign w:val="center"/>
          </w:tcPr>
          <w:p w14:paraId="68E08CBF" w14:textId="77777777" w:rsidR="000D1D20" w:rsidRDefault="000D1D20" w:rsidP="001355DB">
            <w:pPr>
              <w:pStyle w:val="TableText"/>
            </w:pPr>
            <w:r w:rsidRPr="000856DF">
              <w:t>Design assets to withstand impacts (AC1)</w:t>
            </w:r>
          </w:p>
        </w:tc>
        <w:tc>
          <w:tcPr>
            <w:tcW w:w="0" w:type="auto"/>
            <w:vAlign w:val="center"/>
          </w:tcPr>
          <w:p w14:paraId="09846C62" w14:textId="77777777" w:rsidR="000D1D20" w:rsidRDefault="000D1D20" w:rsidP="00FF5CBF">
            <w:pPr>
              <w:pStyle w:val="ListBullet0"/>
              <w:numPr>
                <w:ilvl w:val="0"/>
                <w:numId w:val="52"/>
              </w:numPr>
              <w:spacing w:beforeLines="40" w:before="96" w:afterLines="40" w:after="96" w:line="240" w:lineRule="auto"/>
            </w:pPr>
            <w:r>
              <w:t>Item cost for investigations and management plans – primarily any case-by-case work needed for public assets</w:t>
            </w:r>
          </w:p>
        </w:tc>
        <w:tc>
          <w:tcPr>
            <w:tcW w:w="0" w:type="auto"/>
          </w:tcPr>
          <w:p w14:paraId="383E9BC8" w14:textId="77777777" w:rsidR="000D1D20" w:rsidRDefault="000D1D20" w:rsidP="00FF5CBF">
            <w:pPr>
              <w:pStyle w:val="ListBullet0"/>
              <w:numPr>
                <w:ilvl w:val="0"/>
                <w:numId w:val="52"/>
              </w:numPr>
              <w:spacing w:beforeLines="40" w:before="96" w:afterLines="40" w:after="96" w:line="240" w:lineRule="auto"/>
            </w:pPr>
            <w:r>
              <w:t>LGA</w:t>
            </w:r>
          </w:p>
        </w:tc>
        <w:tc>
          <w:tcPr>
            <w:tcW w:w="0" w:type="auto"/>
          </w:tcPr>
          <w:p w14:paraId="54EB19A0" w14:textId="77777777" w:rsidR="000D1D20" w:rsidRDefault="000D1D20" w:rsidP="00FF5CBF">
            <w:pPr>
              <w:pStyle w:val="ListBullet0"/>
              <w:numPr>
                <w:ilvl w:val="0"/>
                <w:numId w:val="52"/>
              </w:numPr>
              <w:spacing w:beforeLines="40" w:before="96" w:afterLines="40" w:after="96" w:line="240" w:lineRule="auto"/>
            </w:pPr>
            <w:r>
              <w:t>Completed CHRMAP</w:t>
            </w:r>
          </w:p>
        </w:tc>
        <w:tc>
          <w:tcPr>
            <w:tcW w:w="0" w:type="auto"/>
          </w:tcPr>
          <w:p w14:paraId="5A430463" w14:textId="77777777" w:rsidR="000D1D20" w:rsidRDefault="000D1D20" w:rsidP="00FF5CBF">
            <w:pPr>
              <w:pStyle w:val="ListBullet0"/>
              <w:numPr>
                <w:ilvl w:val="0"/>
                <w:numId w:val="52"/>
              </w:numPr>
              <w:spacing w:beforeLines="40" w:before="96" w:afterLines="40" w:after="96" w:line="240" w:lineRule="auto"/>
              <w:jc w:val="left"/>
            </w:pPr>
            <w:r>
              <w:t>$100,000</w:t>
            </w:r>
          </w:p>
          <w:p w14:paraId="580C2E11" w14:textId="77777777" w:rsidR="000D1D20" w:rsidRDefault="000D1D20" w:rsidP="00FF5CBF">
            <w:pPr>
              <w:pStyle w:val="ListBullet0"/>
              <w:numPr>
                <w:ilvl w:val="0"/>
                <w:numId w:val="52"/>
              </w:numPr>
              <w:spacing w:beforeLines="40" w:before="96" w:afterLines="40" w:after="96" w:line="240" w:lineRule="auto"/>
              <w:jc w:val="left"/>
            </w:pPr>
            <w:r>
              <w:t>(Plus 1% annual maintenance of $1,000)</w:t>
            </w:r>
          </w:p>
        </w:tc>
        <w:tc>
          <w:tcPr>
            <w:tcW w:w="1736" w:type="dxa"/>
          </w:tcPr>
          <w:p w14:paraId="665035CA" w14:textId="77777777" w:rsidR="000D1D20" w:rsidRDefault="000D1D20" w:rsidP="00FF5CBF">
            <w:pPr>
              <w:pStyle w:val="ListBullet0"/>
              <w:numPr>
                <w:ilvl w:val="0"/>
                <w:numId w:val="52"/>
              </w:numPr>
              <w:spacing w:beforeLines="40" w:before="96" w:afterLines="40" w:after="96" w:line="240" w:lineRule="auto"/>
            </w:pPr>
            <w:r>
              <w:t>Operational</w:t>
            </w:r>
          </w:p>
          <w:p w14:paraId="2E2C6AA3" w14:textId="77777777" w:rsidR="000D1D20" w:rsidRDefault="000D1D20" w:rsidP="00FF5CBF">
            <w:pPr>
              <w:pStyle w:val="ListBullet0"/>
              <w:numPr>
                <w:ilvl w:val="0"/>
                <w:numId w:val="52"/>
              </w:numPr>
              <w:spacing w:beforeLines="40" w:before="96" w:afterLines="40" w:after="96" w:line="240" w:lineRule="auto"/>
            </w:pPr>
            <w:r>
              <w:t>Grants</w:t>
            </w:r>
          </w:p>
        </w:tc>
        <w:tc>
          <w:tcPr>
            <w:tcW w:w="728" w:type="dxa"/>
          </w:tcPr>
          <w:p w14:paraId="7903CA66" w14:textId="77777777" w:rsidR="000D1D20" w:rsidRDefault="000D1D20" w:rsidP="001355DB">
            <w:pPr>
              <w:pStyle w:val="TableText"/>
            </w:pPr>
            <w:r>
              <w:t>x</w:t>
            </w:r>
          </w:p>
        </w:tc>
        <w:tc>
          <w:tcPr>
            <w:tcW w:w="0" w:type="auto"/>
          </w:tcPr>
          <w:p w14:paraId="2178AD6F" w14:textId="77777777" w:rsidR="000D1D20" w:rsidRDefault="000D1D20" w:rsidP="001355DB">
            <w:pPr>
              <w:pStyle w:val="TableText"/>
            </w:pPr>
            <w:r>
              <w:t>x</w:t>
            </w:r>
          </w:p>
        </w:tc>
        <w:tc>
          <w:tcPr>
            <w:tcW w:w="0" w:type="auto"/>
          </w:tcPr>
          <w:p w14:paraId="2DA230E6" w14:textId="77777777" w:rsidR="000D1D20" w:rsidRDefault="000D1D20" w:rsidP="001355DB">
            <w:pPr>
              <w:pStyle w:val="TableText"/>
            </w:pPr>
          </w:p>
        </w:tc>
        <w:tc>
          <w:tcPr>
            <w:tcW w:w="0" w:type="auto"/>
          </w:tcPr>
          <w:p w14:paraId="423ABC86" w14:textId="77777777" w:rsidR="000D1D20" w:rsidRDefault="000D1D20" w:rsidP="001355DB">
            <w:pPr>
              <w:pStyle w:val="TableText"/>
            </w:pPr>
          </w:p>
        </w:tc>
      </w:tr>
      <w:tr w:rsidR="000D1D20" w14:paraId="32CAD05A" w14:textId="77777777" w:rsidTr="001355DB">
        <w:tc>
          <w:tcPr>
            <w:tcW w:w="0" w:type="auto"/>
          </w:tcPr>
          <w:p w14:paraId="7A381347" w14:textId="77777777" w:rsidR="000D1D20" w:rsidRPr="002C35A2" w:rsidRDefault="000D1D20" w:rsidP="001355DB">
            <w:pPr>
              <w:pStyle w:val="TableText"/>
              <w:rPr>
                <w:b/>
                <w:bCs/>
              </w:rPr>
            </w:pPr>
            <w:r w:rsidRPr="009B3BA2">
              <w:rPr>
                <w:b/>
                <w:bCs/>
              </w:rPr>
              <w:t>Recommended Short-Term Option to address Erosion is to investigate and prepare for Protection with Beach Nourishment (PR1)</w:t>
            </w:r>
          </w:p>
        </w:tc>
        <w:tc>
          <w:tcPr>
            <w:tcW w:w="0" w:type="auto"/>
          </w:tcPr>
          <w:p w14:paraId="54488D64" w14:textId="77777777" w:rsidR="000D1D20" w:rsidRDefault="000D1D20" w:rsidP="00FF5CBF">
            <w:pPr>
              <w:pStyle w:val="ListBullet0"/>
              <w:numPr>
                <w:ilvl w:val="0"/>
                <w:numId w:val="52"/>
              </w:numPr>
              <w:spacing w:beforeLines="40" w:before="96" w:afterLines="40" w:after="96" w:line="240" w:lineRule="auto"/>
            </w:pPr>
            <w:r>
              <w:t>Undertake a detailed Sand Source Feasibility Study (Investigation 1) to confirm assumptions used in the CHRMAP</w:t>
            </w:r>
          </w:p>
          <w:p w14:paraId="7E65263E" w14:textId="77777777" w:rsidR="000D1D20" w:rsidRDefault="000D1D20" w:rsidP="00FF5CBF">
            <w:pPr>
              <w:pStyle w:val="ListBullet0"/>
              <w:numPr>
                <w:ilvl w:val="0"/>
                <w:numId w:val="52"/>
              </w:numPr>
              <w:spacing w:beforeLines="40" w:before="96" w:afterLines="40" w:after="96" w:line="240" w:lineRule="auto"/>
            </w:pPr>
            <w:r>
              <w:t>CHRMAP analysis has found that the Protection Pathway is appropriate for this MU with provision of a sandy beach via nourishment</w:t>
            </w:r>
          </w:p>
          <w:p w14:paraId="09790E77" w14:textId="77777777" w:rsidR="000D1D20" w:rsidRDefault="000D1D20" w:rsidP="00FF5CBF">
            <w:pPr>
              <w:pStyle w:val="ListBullet0"/>
              <w:numPr>
                <w:ilvl w:val="0"/>
                <w:numId w:val="52"/>
              </w:numPr>
              <w:spacing w:beforeLines="40" w:before="96" w:afterLines="40" w:after="96" w:line="240" w:lineRule="auto"/>
            </w:pPr>
            <w:r>
              <w:t>Currently the option assumes protection with beach nourishment (PR1) at different timeframes for either side of Princess Royal Sailing Club</w:t>
            </w:r>
          </w:p>
          <w:p w14:paraId="042C9B1D" w14:textId="77777777" w:rsidR="000D1D20" w:rsidRDefault="000D1D20" w:rsidP="00FF5CBF">
            <w:pPr>
              <w:pStyle w:val="ListBullet0"/>
              <w:numPr>
                <w:ilvl w:val="0"/>
                <w:numId w:val="52"/>
              </w:numPr>
              <w:spacing w:beforeLines="40" w:before="96" w:afterLines="40" w:after="96" w:line="240" w:lineRule="auto"/>
            </w:pPr>
            <w:r>
              <w:t>1400m shoreline treated to northwest of Princess Royal Sailing Club, with present day implementation</w:t>
            </w:r>
          </w:p>
          <w:p w14:paraId="3E475DA2" w14:textId="77777777" w:rsidR="000D1D20" w:rsidRDefault="000D1D20" w:rsidP="00FF5CBF">
            <w:pPr>
              <w:pStyle w:val="ListBullet0"/>
              <w:numPr>
                <w:ilvl w:val="0"/>
                <w:numId w:val="52"/>
              </w:numPr>
              <w:spacing w:beforeLines="40" w:before="96" w:afterLines="40" w:after="96" w:line="240" w:lineRule="auto"/>
            </w:pPr>
            <w:r>
              <w:t>Assumes 3850m shoreline treated from Princess Royal Sailing Club to southeast, with 2047 implementation</w:t>
            </w:r>
          </w:p>
          <w:p w14:paraId="52DFEF3C" w14:textId="77777777" w:rsidR="000D1D20" w:rsidRDefault="000D1D20" w:rsidP="00FF5CBF">
            <w:pPr>
              <w:pStyle w:val="ListBullet0"/>
              <w:numPr>
                <w:ilvl w:val="0"/>
                <w:numId w:val="52"/>
              </w:numPr>
              <w:spacing w:beforeLines="40" w:before="96" w:afterLines="40" w:after="96" w:line="240" w:lineRule="auto"/>
            </w:pPr>
            <w:r>
              <w:t>Protection by existing seawalls at the Princess Royal Sailing Club</w:t>
            </w:r>
          </w:p>
          <w:p w14:paraId="73E9B366" w14:textId="77777777" w:rsidR="000D1D20" w:rsidRDefault="000D1D20" w:rsidP="00FF5CBF">
            <w:pPr>
              <w:pStyle w:val="ListBullet0"/>
              <w:numPr>
                <w:ilvl w:val="0"/>
                <w:numId w:val="52"/>
              </w:numPr>
              <w:spacing w:beforeLines="40" w:before="96" w:afterLines="40" w:after="96" w:line="240" w:lineRule="auto"/>
            </w:pPr>
            <w:r>
              <w:t>Assumes suitable sand source available (grain size, volume, cleanliness, proximity)</w:t>
            </w:r>
          </w:p>
          <w:p w14:paraId="679451C1" w14:textId="658E8D1D" w:rsidR="000D1D20" w:rsidRDefault="000D1D20" w:rsidP="00FF5CBF">
            <w:pPr>
              <w:pStyle w:val="ListBullet0"/>
              <w:numPr>
                <w:ilvl w:val="0"/>
                <w:numId w:val="52"/>
              </w:numPr>
              <w:spacing w:beforeLines="40" w:before="96" w:afterLines="40" w:after="96" w:line="240" w:lineRule="auto"/>
            </w:pPr>
            <w:r>
              <w:t xml:space="preserve">Sections of this MU could be considered for further prioritised analysis as discussed in Section </w:t>
            </w:r>
            <w:r w:rsidR="00EE3192">
              <w:fldChar w:fldCharType="begin"/>
            </w:r>
            <w:r w:rsidR="00EE3192">
              <w:instrText xml:space="preserve"> REF _Ref161826442 \n \h </w:instrText>
            </w:r>
            <w:r w:rsidR="00EE3192">
              <w:fldChar w:fldCharType="separate"/>
            </w:r>
            <w:r w:rsidR="00EE3192">
              <w:t>8.6.2</w:t>
            </w:r>
            <w:r w:rsidR="00EE3192">
              <w:fldChar w:fldCharType="end"/>
            </w:r>
          </w:p>
        </w:tc>
        <w:tc>
          <w:tcPr>
            <w:tcW w:w="0" w:type="auto"/>
          </w:tcPr>
          <w:p w14:paraId="40114323" w14:textId="77777777" w:rsidR="000D1D20" w:rsidRDefault="000D1D20" w:rsidP="00FF5CBF">
            <w:pPr>
              <w:pStyle w:val="ListBullet0"/>
              <w:numPr>
                <w:ilvl w:val="0"/>
                <w:numId w:val="52"/>
              </w:numPr>
              <w:spacing w:beforeLines="40" w:before="96" w:afterLines="40" w:after="96" w:line="240" w:lineRule="auto"/>
            </w:pPr>
            <w:r>
              <w:t>LGA</w:t>
            </w:r>
          </w:p>
        </w:tc>
        <w:tc>
          <w:tcPr>
            <w:tcW w:w="0" w:type="auto"/>
          </w:tcPr>
          <w:p w14:paraId="71497060" w14:textId="77777777" w:rsidR="000D1D20" w:rsidRDefault="000D1D20" w:rsidP="00FF5CBF">
            <w:pPr>
              <w:pStyle w:val="ListBullet0"/>
              <w:numPr>
                <w:ilvl w:val="0"/>
                <w:numId w:val="52"/>
              </w:numPr>
              <w:spacing w:beforeLines="40" w:before="96" w:afterLines="40" w:after="96" w:line="240" w:lineRule="auto"/>
            </w:pPr>
            <w:r>
              <w:t>Completed CHRMAP</w:t>
            </w:r>
          </w:p>
          <w:p w14:paraId="29690AD6" w14:textId="77777777" w:rsidR="000D1D20" w:rsidRDefault="000D1D20" w:rsidP="00FF5CBF">
            <w:pPr>
              <w:pStyle w:val="ListBullet0"/>
              <w:numPr>
                <w:ilvl w:val="0"/>
                <w:numId w:val="52"/>
              </w:numPr>
              <w:spacing w:beforeLines="40" w:before="96" w:afterLines="40" w:after="96" w:line="240" w:lineRule="auto"/>
            </w:pPr>
            <w:r>
              <w:t>Monitoring</w:t>
            </w:r>
          </w:p>
          <w:p w14:paraId="3DD1863D" w14:textId="77777777" w:rsidR="000D1D20" w:rsidRDefault="000D1D20" w:rsidP="00FF5CBF">
            <w:pPr>
              <w:pStyle w:val="ListBullet0"/>
              <w:numPr>
                <w:ilvl w:val="0"/>
                <w:numId w:val="52"/>
              </w:numPr>
              <w:spacing w:beforeLines="40" w:before="96" w:afterLines="40" w:after="96" w:line="240" w:lineRule="auto"/>
            </w:pPr>
            <w:r>
              <w:t>Confirmation of design, costs and funding</w:t>
            </w:r>
          </w:p>
        </w:tc>
        <w:tc>
          <w:tcPr>
            <w:tcW w:w="0" w:type="auto"/>
          </w:tcPr>
          <w:p w14:paraId="2A17AB7A" w14:textId="77777777" w:rsidR="000D1D20" w:rsidRPr="000435BB" w:rsidRDefault="000D1D20" w:rsidP="00FF5CBF">
            <w:pPr>
              <w:pStyle w:val="ListBullet0"/>
              <w:numPr>
                <w:ilvl w:val="0"/>
                <w:numId w:val="52"/>
              </w:numPr>
              <w:spacing w:beforeLines="40" w:before="96" w:afterLines="40" w:after="96" w:line="240" w:lineRule="auto"/>
              <w:jc w:val="left"/>
            </w:pPr>
            <w:r>
              <w:t>$8.7M at NPV 4% for a 100-year timeframe</w:t>
            </w:r>
          </w:p>
          <w:p w14:paraId="691A2E93" w14:textId="77777777" w:rsidR="000D1D20" w:rsidRDefault="000D1D20" w:rsidP="00FF5CBF">
            <w:pPr>
              <w:pStyle w:val="ListBullet0"/>
              <w:numPr>
                <w:ilvl w:val="0"/>
                <w:numId w:val="52"/>
              </w:numPr>
              <w:spacing w:beforeLines="40" w:before="96" w:afterLines="40" w:after="96" w:line="240" w:lineRule="auto"/>
              <w:jc w:val="left"/>
            </w:pPr>
            <w:r>
              <w:t>Detailed design and costings estimated at $200,000</w:t>
            </w:r>
          </w:p>
        </w:tc>
        <w:tc>
          <w:tcPr>
            <w:tcW w:w="1736" w:type="dxa"/>
          </w:tcPr>
          <w:p w14:paraId="2C79B3A4" w14:textId="77777777" w:rsidR="000D1D20" w:rsidRDefault="000D1D20" w:rsidP="00FF5CBF">
            <w:pPr>
              <w:pStyle w:val="ListBullet0"/>
              <w:numPr>
                <w:ilvl w:val="0"/>
                <w:numId w:val="52"/>
              </w:numPr>
              <w:spacing w:beforeLines="40" w:before="96" w:afterLines="40" w:after="96" w:line="240" w:lineRule="auto"/>
            </w:pPr>
            <w:r>
              <w:t>Operational</w:t>
            </w:r>
          </w:p>
          <w:p w14:paraId="53ED662E" w14:textId="77777777" w:rsidR="000D1D20" w:rsidRDefault="000D1D20" w:rsidP="00FF5CBF">
            <w:pPr>
              <w:pStyle w:val="ListBullet0"/>
              <w:numPr>
                <w:ilvl w:val="0"/>
                <w:numId w:val="52"/>
              </w:numPr>
              <w:spacing w:beforeLines="40" w:before="96" w:afterLines="40" w:after="96" w:line="240" w:lineRule="auto"/>
            </w:pPr>
            <w:r>
              <w:t>Grants (e.g. CAP)</w:t>
            </w:r>
          </w:p>
          <w:p w14:paraId="5575D71D" w14:textId="77777777" w:rsidR="000D1D20" w:rsidRDefault="000D1D20" w:rsidP="00FF5CBF">
            <w:pPr>
              <w:pStyle w:val="ListBullet0"/>
              <w:numPr>
                <w:ilvl w:val="0"/>
                <w:numId w:val="52"/>
              </w:numPr>
              <w:spacing w:beforeLines="40" w:before="96" w:afterLines="40" w:after="96" w:line="240" w:lineRule="auto"/>
            </w:pPr>
            <w:r>
              <w:t>Direct beneficiaries</w:t>
            </w:r>
          </w:p>
        </w:tc>
        <w:tc>
          <w:tcPr>
            <w:tcW w:w="728" w:type="dxa"/>
          </w:tcPr>
          <w:p w14:paraId="24CA5CA9" w14:textId="77777777" w:rsidR="000D1D20" w:rsidRDefault="000D1D20" w:rsidP="001355DB">
            <w:pPr>
              <w:pStyle w:val="TableText"/>
            </w:pPr>
            <w:r>
              <w:t>x</w:t>
            </w:r>
          </w:p>
        </w:tc>
        <w:tc>
          <w:tcPr>
            <w:tcW w:w="0" w:type="auto"/>
          </w:tcPr>
          <w:p w14:paraId="0251932B" w14:textId="77777777" w:rsidR="000D1D20" w:rsidRDefault="000D1D20" w:rsidP="001355DB">
            <w:pPr>
              <w:pStyle w:val="TableText"/>
            </w:pPr>
            <w:r>
              <w:t>x</w:t>
            </w:r>
          </w:p>
        </w:tc>
        <w:tc>
          <w:tcPr>
            <w:tcW w:w="0" w:type="auto"/>
          </w:tcPr>
          <w:p w14:paraId="0E878EF3" w14:textId="77777777" w:rsidR="000D1D20" w:rsidRDefault="000D1D20" w:rsidP="001355DB">
            <w:pPr>
              <w:pStyle w:val="TableText"/>
            </w:pPr>
            <w:r>
              <w:t>x</w:t>
            </w:r>
          </w:p>
        </w:tc>
        <w:tc>
          <w:tcPr>
            <w:tcW w:w="0" w:type="auto"/>
          </w:tcPr>
          <w:p w14:paraId="0183A7D9" w14:textId="77777777" w:rsidR="000D1D20" w:rsidRDefault="000D1D20" w:rsidP="001355DB">
            <w:pPr>
              <w:pStyle w:val="TableText"/>
            </w:pPr>
          </w:p>
        </w:tc>
      </w:tr>
      <w:tr w:rsidR="000D1D20" w14:paraId="37054DE4" w14:textId="77777777" w:rsidTr="001355DB">
        <w:tc>
          <w:tcPr>
            <w:tcW w:w="0" w:type="auto"/>
            <w:vAlign w:val="center"/>
          </w:tcPr>
          <w:p w14:paraId="29A7E018" w14:textId="77777777" w:rsidR="000D1D20" w:rsidRDefault="000D1D20" w:rsidP="001355DB">
            <w:pPr>
              <w:pStyle w:val="TableText"/>
            </w:pPr>
            <w:r w:rsidRPr="000856DF">
              <w:lastRenderedPageBreak/>
              <w:t>Leaving assets unprotected (PMR1)</w:t>
            </w:r>
          </w:p>
        </w:tc>
        <w:tc>
          <w:tcPr>
            <w:tcW w:w="0" w:type="auto"/>
            <w:vAlign w:val="center"/>
          </w:tcPr>
          <w:p w14:paraId="284CBE11" w14:textId="77777777" w:rsidR="000D1D20" w:rsidRDefault="000D1D20" w:rsidP="00FF5CBF">
            <w:pPr>
              <w:pStyle w:val="ListBullet0"/>
              <w:numPr>
                <w:ilvl w:val="0"/>
                <w:numId w:val="52"/>
              </w:numPr>
              <w:spacing w:beforeLines="40" w:before="96" w:afterLines="40" w:after="96" w:line="240" w:lineRule="auto"/>
            </w:pPr>
            <w:r>
              <w:t>To 2047 for low-value public assets</w:t>
            </w:r>
          </w:p>
          <w:p w14:paraId="23245CFE" w14:textId="77777777" w:rsidR="000D1D20" w:rsidRDefault="000D1D20" w:rsidP="00FF5CBF">
            <w:pPr>
              <w:pStyle w:val="ListBullet0"/>
              <w:numPr>
                <w:ilvl w:val="0"/>
                <w:numId w:val="52"/>
              </w:numPr>
              <w:spacing w:beforeLines="40" w:before="96" w:afterLines="40" w:after="96" w:line="240" w:lineRule="auto"/>
            </w:pPr>
            <w:r>
              <w:t>Assumes a clean-up rate following damage/loss</w:t>
            </w:r>
          </w:p>
          <w:p w14:paraId="4510510E" w14:textId="77777777" w:rsidR="000D1D20" w:rsidRDefault="000D1D20" w:rsidP="00FF5CBF">
            <w:pPr>
              <w:pStyle w:val="ListBullet0"/>
              <w:numPr>
                <w:ilvl w:val="0"/>
                <w:numId w:val="52"/>
              </w:numPr>
              <w:spacing w:beforeLines="40" w:before="96" w:afterLines="40" w:after="96" w:line="240" w:lineRule="auto"/>
            </w:pPr>
            <w:r>
              <w:t>No private land acquisition included</w:t>
            </w:r>
          </w:p>
          <w:p w14:paraId="1E0260F0" w14:textId="77777777" w:rsidR="000D1D20" w:rsidRDefault="000D1D20" w:rsidP="00FF5CBF">
            <w:pPr>
              <w:pStyle w:val="ListBullet0"/>
              <w:numPr>
                <w:ilvl w:val="0"/>
                <w:numId w:val="52"/>
              </w:numPr>
              <w:spacing w:beforeLines="40" w:before="96" w:afterLines="40" w:after="96" w:line="240" w:lineRule="auto"/>
            </w:pPr>
            <w:r>
              <w:t>Maintenance assumes ongoing allowance for foreshore reserve</w:t>
            </w:r>
          </w:p>
        </w:tc>
        <w:tc>
          <w:tcPr>
            <w:tcW w:w="0" w:type="auto"/>
          </w:tcPr>
          <w:p w14:paraId="5C4DA70F" w14:textId="77777777" w:rsidR="000D1D20" w:rsidRDefault="000D1D20" w:rsidP="00FF5CBF">
            <w:pPr>
              <w:pStyle w:val="ListBullet0"/>
              <w:numPr>
                <w:ilvl w:val="0"/>
                <w:numId w:val="52"/>
              </w:numPr>
              <w:spacing w:beforeLines="40" w:before="96" w:afterLines="40" w:after="96" w:line="240" w:lineRule="auto"/>
            </w:pPr>
            <w:r>
              <w:t>LGA</w:t>
            </w:r>
          </w:p>
        </w:tc>
        <w:tc>
          <w:tcPr>
            <w:tcW w:w="0" w:type="auto"/>
          </w:tcPr>
          <w:p w14:paraId="2A0EDC6B" w14:textId="77777777" w:rsidR="000D1D20" w:rsidRPr="00900039" w:rsidRDefault="000D1D20" w:rsidP="00FF5CBF">
            <w:pPr>
              <w:pStyle w:val="ListBullet0"/>
              <w:numPr>
                <w:ilvl w:val="0"/>
                <w:numId w:val="52"/>
              </w:numPr>
              <w:spacing w:beforeLines="40" w:before="96" w:afterLines="40" w:after="96" w:line="240" w:lineRule="auto"/>
            </w:pPr>
            <w:r>
              <w:t>Storm damage</w:t>
            </w:r>
          </w:p>
          <w:p w14:paraId="172AB2EA" w14:textId="77777777" w:rsidR="000D1D20" w:rsidRPr="00900039" w:rsidRDefault="000D1D20" w:rsidP="00FF5CBF">
            <w:pPr>
              <w:pStyle w:val="ListBullet0"/>
              <w:numPr>
                <w:ilvl w:val="0"/>
                <w:numId w:val="52"/>
              </w:numPr>
              <w:spacing w:beforeLines="40" w:before="96" w:afterLines="40" w:after="96" w:line="240" w:lineRule="auto"/>
            </w:pPr>
            <w:r>
              <w:t>Audit of assets within 2047 erosion and inundation hazard zone and identification of assets where damage would be unacceptable</w:t>
            </w:r>
          </w:p>
        </w:tc>
        <w:tc>
          <w:tcPr>
            <w:tcW w:w="0" w:type="auto"/>
          </w:tcPr>
          <w:p w14:paraId="5C1E7DC4" w14:textId="77777777" w:rsidR="000D1D20" w:rsidRPr="00900039" w:rsidRDefault="000D1D20" w:rsidP="00FF5CBF">
            <w:pPr>
              <w:pStyle w:val="ListBullet0"/>
              <w:numPr>
                <w:ilvl w:val="0"/>
                <w:numId w:val="52"/>
              </w:numPr>
              <w:spacing w:beforeLines="40" w:before="96" w:afterLines="40" w:after="96" w:line="240" w:lineRule="auto"/>
              <w:jc w:val="left"/>
            </w:pPr>
            <w:r>
              <w:t>$498,000</w:t>
            </w:r>
          </w:p>
          <w:p w14:paraId="18CBC257" w14:textId="77777777" w:rsidR="000D1D20" w:rsidRPr="00900039" w:rsidRDefault="000D1D20" w:rsidP="00FF5CBF">
            <w:pPr>
              <w:pStyle w:val="ListBullet0"/>
              <w:numPr>
                <w:ilvl w:val="0"/>
                <w:numId w:val="52"/>
              </w:numPr>
              <w:spacing w:beforeLines="40" w:before="96" w:afterLines="40" w:after="96" w:line="240" w:lineRule="auto"/>
              <w:jc w:val="left"/>
            </w:pPr>
            <w:r>
              <w:t>(Plus 3% annual maintenance of $14,940)</w:t>
            </w:r>
          </w:p>
        </w:tc>
        <w:tc>
          <w:tcPr>
            <w:tcW w:w="1736" w:type="dxa"/>
          </w:tcPr>
          <w:p w14:paraId="5BEB39ED" w14:textId="77777777" w:rsidR="000D1D20" w:rsidRDefault="000D1D20" w:rsidP="00FF5CBF">
            <w:pPr>
              <w:pStyle w:val="ListBullet0"/>
              <w:numPr>
                <w:ilvl w:val="0"/>
                <w:numId w:val="52"/>
              </w:numPr>
              <w:spacing w:beforeLines="40" w:before="96" w:afterLines="40" w:after="96" w:line="240" w:lineRule="auto"/>
            </w:pPr>
            <w:r>
              <w:t>Operational</w:t>
            </w:r>
          </w:p>
        </w:tc>
        <w:tc>
          <w:tcPr>
            <w:tcW w:w="728" w:type="dxa"/>
          </w:tcPr>
          <w:p w14:paraId="6A1A2D62" w14:textId="77777777" w:rsidR="000D1D20" w:rsidRDefault="000D1D20" w:rsidP="001355DB">
            <w:pPr>
              <w:pStyle w:val="TableText"/>
            </w:pPr>
            <w:r>
              <w:t>x</w:t>
            </w:r>
          </w:p>
        </w:tc>
        <w:tc>
          <w:tcPr>
            <w:tcW w:w="0" w:type="auto"/>
          </w:tcPr>
          <w:p w14:paraId="094C0536" w14:textId="77777777" w:rsidR="000D1D20" w:rsidRDefault="000D1D20" w:rsidP="001355DB">
            <w:pPr>
              <w:pStyle w:val="TableText"/>
            </w:pPr>
            <w:r>
              <w:t>x</w:t>
            </w:r>
          </w:p>
        </w:tc>
        <w:tc>
          <w:tcPr>
            <w:tcW w:w="0" w:type="auto"/>
          </w:tcPr>
          <w:p w14:paraId="44709EB7" w14:textId="77777777" w:rsidR="000D1D20" w:rsidRDefault="000D1D20" w:rsidP="001355DB">
            <w:pPr>
              <w:pStyle w:val="TableText"/>
            </w:pPr>
            <w:r>
              <w:t>x</w:t>
            </w:r>
          </w:p>
        </w:tc>
        <w:tc>
          <w:tcPr>
            <w:tcW w:w="0" w:type="auto"/>
          </w:tcPr>
          <w:p w14:paraId="2F85B1DE" w14:textId="77777777" w:rsidR="000D1D20" w:rsidRDefault="000D1D20" w:rsidP="001355DB">
            <w:pPr>
              <w:pStyle w:val="TableText"/>
            </w:pPr>
          </w:p>
        </w:tc>
      </w:tr>
      <w:tr w:rsidR="000D1D20" w14:paraId="08671FB9" w14:textId="77777777" w:rsidTr="001355DB">
        <w:tc>
          <w:tcPr>
            <w:tcW w:w="0" w:type="auto"/>
          </w:tcPr>
          <w:p w14:paraId="6189FF2A" w14:textId="77777777" w:rsidR="000D1D20" w:rsidRPr="000856DF" w:rsidRDefault="000D1D20" w:rsidP="001355DB">
            <w:pPr>
              <w:pStyle w:val="TableText"/>
            </w:pPr>
            <w:r w:rsidRPr="009B3BA2">
              <w:rPr>
                <w:b/>
                <w:bCs/>
              </w:rPr>
              <w:t xml:space="preserve">Recommended Short-Term Option to address Inundation is </w:t>
            </w:r>
            <w:r w:rsidRPr="005B094D">
              <w:rPr>
                <w:b/>
                <w:bCs/>
              </w:rPr>
              <w:t>Monitoring (NR1)</w:t>
            </w:r>
            <w:r>
              <w:rPr>
                <w:b/>
                <w:bCs/>
              </w:rPr>
              <w:t xml:space="preserve">, </w:t>
            </w:r>
            <w:r w:rsidRPr="005B094D">
              <w:rPr>
                <w:b/>
                <w:bCs/>
              </w:rPr>
              <w:t>Accommodate (AC1) and Emergency Evacuation Plans (NR4)</w:t>
            </w:r>
          </w:p>
        </w:tc>
        <w:tc>
          <w:tcPr>
            <w:tcW w:w="0" w:type="auto"/>
          </w:tcPr>
          <w:p w14:paraId="060ED836" w14:textId="77777777" w:rsidR="000D1D20" w:rsidRDefault="000D1D20" w:rsidP="00FF5CBF">
            <w:pPr>
              <w:pStyle w:val="ListBullet0"/>
              <w:numPr>
                <w:ilvl w:val="0"/>
                <w:numId w:val="52"/>
              </w:numPr>
              <w:spacing w:beforeLines="40" w:before="96" w:afterLines="40" w:after="96" w:line="240" w:lineRule="auto"/>
            </w:pPr>
            <w:r>
              <w:t>There is no projected impact from inundation during the short-term for this MU.</w:t>
            </w:r>
          </w:p>
          <w:p w14:paraId="02893CF4" w14:textId="373A6024" w:rsidR="000D1D20" w:rsidRDefault="000D1D20" w:rsidP="00FF5CBF">
            <w:pPr>
              <w:pStyle w:val="ListBullet0"/>
              <w:numPr>
                <w:ilvl w:val="0"/>
                <w:numId w:val="52"/>
              </w:numPr>
              <w:spacing w:beforeLines="40" w:before="96" w:afterLines="40" w:after="96" w:line="240" w:lineRule="auto"/>
            </w:pPr>
            <w:r>
              <w:t>Implementation shall focus on Monitoring (NR1</w:t>
            </w:r>
            <w:r w:rsidR="00345509">
              <w:t>) and</w:t>
            </w:r>
            <w:r>
              <w:t xml:space="preserve"> should an unexpected inundation event occur it can be managed via Accommodate (AC1) and Emergency Evacuation Plans (NR4).</w:t>
            </w:r>
          </w:p>
        </w:tc>
        <w:tc>
          <w:tcPr>
            <w:tcW w:w="0" w:type="auto"/>
          </w:tcPr>
          <w:p w14:paraId="65F40BFE" w14:textId="77777777" w:rsidR="000D1D20" w:rsidRDefault="000D1D20" w:rsidP="00FF5CBF">
            <w:pPr>
              <w:pStyle w:val="ListBullet0"/>
              <w:numPr>
                <w:ilvl w:val="0"/>
                <w:numId w:val="52"/>
              </w:numPr>
              <w:spacing w:beforeLines="40" w:before="96" w:afterLines="40" w:after="96" w:line="240" w:lineRule="auto"/>
            </w:pPr>
            <w:r>
              <w:t>LGA</w:t>
            </w:r>
          </w:p>
        </w:tc>
        <w:tc>
          <w:tcPr>
            <w:tcW w:w="0" w:type="auto"/>
          </w:tcPr>
          <w:p w14:paraId="5E7D07AF" w14:textId="77777777" w:rsidR="000D1D20" w:rsidRDefault="000D1D20" w:rsidP="00FF5CBF">
            <w:pPr>
              <w:pStyle w:val="ListBullet0"/>
              <w:numPr>
                <w:ilvl w:val="0"/>
                <w:numId w:val="52"/>
              </w:numPr>
              <w:spacing w:beforeLines="40" w:before="96" w:afterLines="40" w:after="96" w:line="240" w:lineRule="auto"/>
            </w:pPr>
            <w:r>
              <w:t>Monitoring</w:t>
            </w:r>
          </w:p>
          <w:p w14:paraId="7D9CB171" w14:textId="77777777" w:rsidR="000D1D20" w:rsidRDefault="000D1D20" w:rsidP="00FF5CBF">
            <w:pPr>
              <w:pStyle w:val="ListBullet0"/>
              <w:numPr>
                <w:ilvl w:val="0"/>
                <w:numId w:val="52"/>
              </w:numPr>
              <w:spacing w:beforeLines="40" w:before="96" w:afterLines="40" w:after="96" w:line="240" w:lineRule="auto"/>
            </w:pPr>
            <w:r>
              <w:t>Updated CHRMAP</w:t>
            </w:r>
          </w:p>
        </w:tc>
        <w:tc>
          <w:tcPr>
            <w:tcW w:w="0" w:type="auto"/>
          </w:tcPr>
          <w:p w14:paraId="7F503954" w14:textId="77777777" w:rsidR="000D1D20" w:rsidRDefault="000D1D20" w:rsidP="00FF5CBF">
            <w:pPr>
              <w:pStyle w:val="ListBullet0"/>
              <w:numPr>
                <w:ilvl w:val="0"/>
                <w:numId w:val="52"/>
              </w:numPr>
              <w:spacing w:beforeLines="40" w:before="96" w:afterLines="40" w:after="96" w:line="240" w:lineRule="auto"/>
              <w:jc w:val="left"/>
            </w:pPr>
            <w:r>
              <w:t>See other recommended actions for their costs.</w:t>
            </w:r>
          </w:p>
        </w:tc>
        <w:tc>
          <w:tcPr>
            <w:tcW w:w="1736" w:type="dxa"/>
          </w:tcPr>
          <w:p w14:paraId="43B44054" w14:textId="77777777" w:rsidR="000D1D20" w:rsidRDefault="000D1D20" w:rsidP="00FF5CBF">
            <w:pPr>
              <w:pStyle w:val="ListBullet0"/>
              <w:numPr>
                <w:ilvl w:val="0"/>
                <w:numId w:val="52"/>
              </w:numPr>
              <w:spacing w:beforeLines="40" w:before="96" w:afterLines="40" w:after="96" w:line="240" w:lineRule="auto"/>
            </w:pPr>
            <w:r>
              <w:t>N/A</w:t>
            </w:r>
          </w:p>
        </w:tc>
        <w:tc>
          <w:tcPr>
            <w:tcW w:w="0" w:type="dxa"/>
          </w:tcPr>
          <w:p w14:paraId="7514B73F" w14:textId="77777777" w:rsidR="000D1D20" w:rsidRDefault="000D1D20" w:rsidP="001355DB">
            <w:pPr>
              <w:pStyle w:val="TableText"/>
            </w:pPr>
            <w:r>
              <w:t>x</w:t>
            </w:r>
          </w:p>
        </w:tc>
        <w:tc>
          <w:tcPr>
            <w:tcW w:w="0" w:type="auto"/>
          </w:tcPr>
          <w:p w14:paraId="36C6D8D5" w14:textId="77777777" w:rsidR="000D1D20" w:rsidRDefault="000D1D20" w:rsidP="001355DB">
            <w:pPr>
              <w:pStyle w:val="TableText"/>
            </w:pPr>
            <w:r>
              <w:t>x</w:t>
            </w:r>
          </w:p>
        </w:tc>
        <w:tc>
          <w:tcPr>
            <w:tcW w:w="0" w:type="auto"/>
          </w:tcPr>
          <w:p w14:paraId="0579416B" w14:textId="77777777" w:rsidR="000D1D20" w:rsidRDefault="000D1D20" w:rsidP="001355DB">
            <w:pPr>
              <w:pStyle w:val="TableText"/>
            </w:pPr>
            <w:r>
              <w:t>x</w:t>
            </w:r>
          </w:p>
        </w:tc>
        <w:tc>
          <w:tcPr>
            <w:tcW w:w="0" w:type="auto"/>
          </w:tcPr>
          <w:p w14:paraId="17CF57C7" w14:textId="77777777" w:rsidR="000D1D20" w:rsidRDefault="000D1D20" w:rsidP="001355DB">
            <w:pPr>
              <w:pStyle w:val="TableText"/>
            </w:pPr>
          </w:p>
        </w:tc>
      </w:tr>
      <w:tr w:rsidR="000D1D20" w14:paraId="07BA39C3" w14:textId="77777777" w:rsidTr="001355DB">
        <w:tc>
          <w:tcPr>
            <w:tcW w:w="0" w:type="auto"/>
          </w:tcPr>
          <w:p w14:paraId="7738B90C" w14:textId="77777777" w:rsidR="000D1D20" w:rsidRDefault="000D1D20" w:rsidP="001355DB">
            <w:pPr>
              <w:pStyle w:val="TableText"/>
            </w:pPr>
            <w:r w:rsidRPr="009B3BA2">
              <w:rPr>
                <w:b/>
                <w:bCs/>
              </w:rPr>
              <w:t>Recommended Medium and Long-term pathway to address Erosion is Protection with Beach Nourishment (PR1)</w:t>
            </w:r>
          </w:p>
        </w:tc>
        <w:tc>
          <w:tcPr>
            <w:tcW w:w="0" w:type="auto"/>
          </w:tcPr>
          <w:p w14:paraId="561FEE14" w14:textId="77777777" w:rsidR="000D1D20" w:rsidRDefault="000D1D20" w:rsidP="00FF5CBF">
            <w:pPr>
              <w:pStyle w:val="ListBullet0"/>
              <w:numPr>
                <w:ilvl w:val="0"/>
                <w:numId w:val="51"/>
              </w:numPr>
              <w:spacing w:beforeLines="40" w:before="96" w:afterLines="40" w:after="96" w:line="240" w:lineRule="auto"/>
            </w:pPr>
            <w:r>
              <w:t>Monitoring will determine the need for additional works beyond those recommended in the short-term</w:t>
            </w:r>
          </w:p>
        </w:tc>
        <w:tc>
          <w:tcPr>
            <w:tcW w:w="0" w:type="auto"/>
          </w:tcPr>
          <w:p w14:paraId="21FD64B0" w14:textId="77777777" w:rsidR="000D1D20" w:rsidRDefault="000D1D20" w:rsidP="00FF5CBF">
            <w:pPr>
              <w:pStyle w:val="ListBullet0"/>
              <w:numPr>
                <w:ilvl w:val="0"/>
                <w:numId w:val="51"/>
              </w:numPr>
              <w:spacing w:beforeLines="40" w:before="96" w:afterLines="40" w:after="96" w:line="240" w:lineRule="auto"/>
            </w:pPr>
            <w:r>
              <w:t>LGA</w:t>
            </w:r>
          </w:p>
        </w:tc>
        <w:tc>
          <w:tcPr>
            <w:tcW w:w="0" w:type="auto"/>
          </w:tcPr>
          <w:p w14:paraId="110C6B3D" w14:textId="77777777" w:rsidR="000D1D20" w:rsidRDefault="000D1D20" w:rsidP="00FF5CBF">
            <w:pPr>
              <w:pStyle w:val="ListBullet0"/>
              <w:numPr>
                <w:ilvl w:val="0"/>
                <w:numId w:val="51"/>
              </w:numPr>
              <w:spacing w:beforeLines="40" w:before="96" w:afterLines="40" w:after="96" w:line="240" w:lineRule="auto"/>
            </w:pPr>
            <w:r>
              <w:t>Monitoring</w:t>
            </w:r>
          </w:p>
          <w:p w14:paraId="247AB896" w14:textId="77777777" w:rsidR="000D1D20" w:rsidRDefault="000D1D20" w:rsidP="00FF5CBF">
            <w:pPr>
              <w:pStyle w:val="ListBullet0"/>
              <w:numPr>
                <w:ilvl w:val="0"/>
                <w:numId w:val="51"/>
              </w:numPr>
              <w:spacing w:beforeLines="40" w:before="96" w:afterLines="40" w:after="96" w:line="240" w:lineRule="auto"/>
            </w:pPr>
            <w:r>
              <w:t>Updated CHRMAP</w:t>
            </w:r>
          </w:p>
        </w:tc>
        <w:tc>
          <w:tcPr>
            <w:tcW w:w="0" w:type="auto"/>
          </w:tcPr>
          <w:p w14:paraId="13081987" w14:textId="77777777" w:rsidR="000D1D20" w:rsidRPr="000435BB" w:rsidRDefault="000D1D20" w:rsidP="00FF5CBF">
            <w:pPr>
              <w:pStyle w:val="ListBullet0"/>
              <w:numPr>
                <w:ilvl w:val="0"/>
                <w:numId w:val="51"/>
              </w:numPr>
              <w:spacing w:beforeLines="40" w:before="96" w:afterLines="40" w:after="96" w:line="240" w:lineRule="auto"/>
              <w:jc w:val="left"/>
            </w:pPr>
            <w:r>
              <w:t>$8.7M at NPV 4% for a 100-year timeframe</w:t>
            </w:r>
          </w:p>
          <w:p w14:paraId="38C80B03" w14:textId="77777777" w:rsidR="000D1D20" w:rsidRDefault="000D1D20" w:rsidP="00FF5CBF">
            <w:pPr>
              <w:pStyle w:val="ListBullet0"/>
              <w:numPr>
                <w:ilvl w:val="0"/>
                <w:numId w:val="51"/>
              </w:numPr>
              <w:spacing w:beforeLines="40" w:before="96" w:afterLines="40" w:after="96" w:line="240" w:lineRule="auto"/>
              <w:jc w:val="left"/>
            </w:pPr>
            <w:r>
              <w:t>Annual maintenance estimate of approximately $0.4M</w:t>
            </w:r>
          </w:p>
        </w:tc>
        <w:tc>
          <w:tcPr>
            <w:tcW w:w="1736" w:type="dxa"/>
          </w:tcPr>
          <w:p w14:paraId="6D5B4A0E" w14:textId="77777777" w:rsidR="000D1D20" w:rsidRDefault="000D1D20" w:rsidP="00FF5CBF">
            <w:pPr>
              <w:pStyle w:val="ListBullet0"/>
              <w:numPr>
                <w:ilvl w:val="0"/>
                <w:numId w:val="51"/>
              </w:numPr>
              <w:spacing w:beforeLines="40" w:before="96" w:afterLines="40" w:after="96" w:line="240" w:lineRule="auto"/>
            </w:pPr>
            <w:r>
              <w:t>Operational</w:t>
            </w:r>
          </w:p>
          <w:p w14:paraId="6234DE5D" w14:textId="77777777" w:rsidR="000D1D20" w:rsidRDefault="000D1D20" w:rsidP="00FF5CBF">
            <w:pPr>
              <w:pStyle w:val="ListBullet0"/>
              <w:numPr>
                <w:ilvl w:val="0"/>
                <w:numId w:val="51"/>
              </w:numPr>
              <w:spacing w:beforeLines="40" w:before="96" w:afterLines="40" w:after="96" w:line="240" w:lineRule="auto"/>
            </w:pPr>
            <w:r>
              <w:t>Grants (e.g. CAP)</w:t>
            </w:r>
          </w:p>
          <w:p w14:paraId="2143898D" w14:textId="77777777" w:rsidR="000D1D20" w:rsidRDefault="000D1D20" w:rsidP="00FF5CBF">
            <w:pPr>
              <w:pStyle w:val="ListBullet0"/>
              <w:numPr>
                <w:ilvl w:val="0"/>
                <w:numId w:val="51"/>
              </w:numPr>
              <w:spacing w:beforeLines="40" w:before="96" w:afterLines="40" w:after="96" w:line="240" w:lineRule="auto"/>
            </w:pPr>
            <w:r>
              <w:t>Direct beneficiaries</w:t>
            </w:r>
          </w:p>
        </w:tc>
        <w:tc>
          <w:tcPr>
            <w:tcW w:w="728" w:type="dxa"/>
          </w:tcPr>
          <w:p w14:paraId="3700B20D" w14:textId="77777777" w:rsidR="000D1D20" w:rsidRDefault="000D1D20" w:rsidP="00FF5CBF">
            <w:pPr>
              <w:pStyle w:val="TableText"/>
              <w:numPr>
                <w:ilvl w:val="0"/>
                <w:numId w:val="51"/>
              </w:numPr>
            </w:pPr>
          </w:p>
        </w:tc>
        <w:tc>
          <w:tcPr>
            <w:tcW w:w="0" w:type="auto"/>
          </w:tcPr>
          <w:p w14:paraId="30BB6FAB" w14:textId="77777777" w:rsidR="000D1D20" w:rsidRDefault="000D1D20" w:rsidP="001355DB">
            <w:pPr>
              <w:pStyle w:val="TableText"/>
            </w:pPr>
          </w:p>
        </w:tc>
        <w:tc>
          <w:tcPr>
            <w:tcW w:w="0" w:type="auto"/>
          </w:tcPr>
          <w:p w14:paraId="21B7CFE2" w14:textId="77777777" w:rsidR="000D1D20" w:rsidRDefault="000D1D20" w:rsidP="001355DB">
            <w:pPr>
              <w:pStyle w:val="TableText"/>
            </w:pPr>
          </w:p>
        </w:tc>
        <w:tc>
          <w:tcPr>
            <w:tcW w:w="0" w:type="auto"/>
          </w:tcPr>
          <w:p w14:paraId="23AEE5FF" w14:textId="77777777" w:rsidR="000D1D20" w:rsidRDefault="000D1D20" w:rsidP="001355DB">
            <w:pPr>
              <w:pStyle w:val="TableText"/>
            </w:pPr>
            <w:r>
              <w:t>x</w:t>
            </w:r>
          </w:p>
        </w:tc>
      </w:tr>
      <w:tr w:rsidR="000D1D20" w14:paraId="67C408FB" w14:textId="77777777" w:rsidTr="001355DB">
        <w:tc>
          <w:tcPr>
            <w:tcW w:w="0" w:type="auto"/>
          </w:tcPr>
          <w:p w14:paraId="0E46A451" w14:textId="77777777" w:rsidR="000D1D20" w:rsidRDefault="000D1D20" w:rsidP="001355DB">
            <w:pPr>
              <w:pStyle w:val="TableText"/>
            </w:pPr>
            <w:r w:rsidRPr="00900039">
              <w:rPr>
                <w:b/>
                <w:bCs/>
              </w:rPr>
              <w:t>Recommended Medium and Long-term pathway to address Inundation is a Levee (PR6)</w:t>
            </w:r>
          </w:p>
        </w:tc>
        <w:tc>
          <w:tcPr>
            <w:tcW w:w="0" w:type="auto"/>
          </w:tcPr>
          <w:p w14:paraId="471A6CED" w14:textId="77777777" w:rsidR="000D1D20" w:rsidRDefault="000D1D20" w:rsidP="00FF5CBF">
            <w:pPr>
              <w:pStyle w:val="ListBullet0"/>
              <w:numPr>
                <w:ilvl w:val="0"/>
                <w:numId w:val="51"/>
              </w:numPr>
              <w:spacing w:beforeLines="40" w:before="96" w:afterLines="40" w:after="96" w:line="240" w:lineRule="auto"/>
            </w:pPr>
            <w:r>
              <w:t>Assumes 1700m of levee required split across four sections across MU to protect the four areas most at risk of inundation. Other areas not at risk in the short-term.</w:t>
            </w:r>
          </w:p>
          <w:p w14:paraId="5BD18E19" w14:textId="77777777" w:rsidR="000D1D20" w:rsidRDefault="000D1D20" w:rsidP="00FF5CBF">
            <w:pPr>
              <w:pStyle w:val="ListBullet0"/>
              <w:numPr>
                <w:ilvl w:val="0"/>
                <w:numId w:val="51"/>
              </w:numPr>
              <w:spacing w:beforeLines="40" w:before="96" w:afterLines="40" w:after="96" w:line="240" w:lineRule="auto"/>
            </w:pPr>
            <w:r>
              <w:t>Assumes 2072 implementation, so there are no priority actions in short-term</w:t>
            </w:r>
          </w:p>
        </w:tc>
        <w:tc>
          <w:tcPr>
            <w:tcW w:w="0" w:type="auto"/>
          </w:tcPr>
          <w:p w14:paraId="1145324C" w14:textId="77777777" w:rsidR="000D1D20" w:rsidRDefault="000D1D20" w:rsidP="00FF5CBF">
            <w:pPr>
              <w:pStyle w:val="ListBullet0"/>
              <w:numPr>
                <w:ilvl w:val="0"/>
                <w:numId w:val="51"/>
              </w:numPr>
              <w:spacing w:beforeLines="40" w:before="96" w:afterLines="40" w:after="96" w:line="240" w:lineRule="auto"/>
            </w:pPr>
            <w:r>
              <w:t>LGA</w:t>
            </w:r>
          </w:p>
        </w:tc>
        <w:tc>
          <w:tcPr>
            <w:tcW w:w="0" w:type="auto"/>
          </w:tcPr>
          <w:p w14:paraId="26A73F97" w14:textId="77777777" w:rsidR="000D1D20" w:rsidRDefault="000D1D20" w:rsidP="00FF5CBF">
            <w:pPr>
              <w:pStyle w:val="ListBullet0"/>
              <w:numPr>
                <w:ilvl w:val="0"/>
                <w:numId w:val="51"/>
              </w:numPr>
              <w:spacing w:beforeLines="40" w:before="96" w:afterLines="40" w:after="96" w:line="240" w:lineRule="auto"/>
            </w:pPr>
            <w:r>
              <w:t>Monitoring</w:t>
            </w:r>
          </w:p>
          <w:p w14:paraId="793F3D3F" w14:textId="77777777" w:rsidR="000D1D20" w:rsidRDefault="000D1D20" w:rsidP="00FF5CBF">
            <w:pPr>
              <w:pStyle w:val="ListBullet0"/>
              <w:numPr>
                <w:ilvl w:val="0"/>
                <w:numId w:val="51"/>
              </w:numPr>
              <w:spacing w:beforeLines="40" w:before="96" w:afterLines="40" w:after="96" w:line="240" w:lineRule="auto"/>
            </w:pPr>
            <w:r>
              <w:t>Updated CHRMAP</w:t>
            </w:r>
          </w:p>
        </w:tc>
        <w:tc>
          <w:tcPr>
            <w:tcW w:w="0" w:type="auto"/>
          </w:tcPr>
          <w:p w14:paraId="0A1D9F56" w14:textId="77777777" w:rsidR="000D1D20" w:rsidRDefault="000D1D20" w:rsidP="00FF5CBF">
            <w:pPr>
              <w:pStyle w:val="ListBullet0"/>
              <w:numPr>
                <w:ilvl w:val="0"/>
                <w:numId w:val="51"/>
              </w:numPr>
              <w:spacing w:beforeLines="40" w:before="96" w:afterLines="40" w:after="96" w:line="240" w:lineRule="auto"/>
              <w:jc w:val="left"/>
            </w:pPr>
            <w:r>
              <w:t>$1.1M at NPV 4% for a 100-year timeframe</w:t>
            </w:r>
          </w:p>
          <w:p w14:paraId="2D766D0D" w14:textId="77777777" w:rsidR="000D1D20" w:rsidRDefault="000D1D20" w:rsidP="00FF5CBF">
            <w:pPr>
              <w:pStyle w:val="ListBullet0"/>
              <w:numPr>
                <w:ilvl w:val="0"/>
                <w:numId w:val="51"/>
              </w:numPr>
              <w:spacing w:beforeLines="40" w:before="96" w:afterLines="40" w:after="96" w:line="240" w:lineRule="auto"/>
              <w:jc w:val="left"/>
            </w:pPr>
            <w:r>
              <w:t>Annual maintenance estimate of approximately $0.13M</w:t>
            </w:r>
          </w:p>
        </w:tc>
        <w:tc>
          <w:tcPr>
            <w:tcW w:w="1736" w:type="dxa"/>
          </w:tcPr>
          <w:p w14:paraId="33425827" w14:textId="77777777" w:rsidR="000D1D20" w:rsidRDefault="000D1D20" w:rsidP="00FF5CBF">
            <w:pPr>
              <w:pStyle w:val="ListBullet0"/>
              <w:numPr>
                <w:ilvl w:val="0"/>
                <w:numId w:val="51"/>
              </w:numPr>
              <w:spacing w:beforeLines="40" w:before="96" w:afterLines="40" w:after="96" w:line="240" w:lineRule="auto"/>
            </w:pPr>
            <w:r>
              <w:t>Operational</w:t>
            </w:r>
          </w:p>
          <w:p w14:paraId="133C8E23" w14:textId="77777777" w:rsidR="000D1D20" w:rsidRDefault="000D1D20" w:rsidP="00FF5CBF">
            <w:pPr>
              <w:pStyle w:val="ListBullet0"/>
              <w:numPr>
                <w:ilvl w:val="0"/>
                <w:numId w:val="51"/>
              </w:numPr>
              <w:spacing w:beforeLines="40" w:before="96" w:afterLines="40" w:after="96" w:line="240" w:lineRule="auto"/>
            </w:pPr>
            <w:r>
              <w:t>Grants (e.g. DRF)</w:t>
            </w:r>
          </w:p>
          <w:p w14:paraId="15259083" w14:textId="77777777" w:rsidR="000D1D20" w:rsidRDefault="000D1D20" w:rsidP="00FF5CBF">
            <w:pPr>
              <w:pStyle w:val="ListBullet0"/>
              <w:numPr>
                <w:ilvl w:val="0"/>
                <w:numId w:val="51"/>
              </w:numPr>
              <w:spacing w:beforeLines="40" w:before="96" w:afterLines="40" w:after="96" w:line="240" w:lineRule="auto"/>
            </w:pPr>
            <w:r>
              <w:t>Direct beneficiaries</w:t>
            </w:r>
          </w:p>
        </w:tc>
        <w:tc>
          <w:tcPr>
            <w:tcW w:w="728" w:type="dxa"/>
          </w:tcPr>
          <w:p w14:paraId="5D25A31E" w14:textId="77777777" w:rsidR="000D1D20" w:rsidRDefault="000D1D20" w:rsidP="00FF5CBF">
            <w:pPr>
              <w:pStyle w:val="TableText"/>
              <w:numPr>
                <w:ilvl w:val="0"/>
                <w:numId w:val="51"/>
              </w:numPr>
            </w:pPr>
          </w:p>
        </w:tc>
        <w:tc>
          <w:tcPr>
            <w:tcW w:w="0" w:type="auto"/>
          </w:tcPr>
          <w:p w14:paraId="07EF9237" w14:textId="77777777" w:rsidR="000D1D20" w:rsidRDefault="000D1D20" w:rsidP="001355DB">
            <w:pPr>
              <w:pStyle w:val="TableText"/>
            </w:pPr>
          </w:p>
        </w:tc>
        <w:tc>
          <w:tcPr>
            <w:tcW w:w="0" w:type="auto"/>
          </w:tcPr>
          <w:p w14:paraId="0CC8F311" w14:textId="77777777" w:rsidR="000D1D20" w:rsidRDefault="000D1D20" w:rsidP="001355DB">
            <w:pPr>
              <w:pStyle w:val="TableText"/>
            </w:pPr>
          </w:p>
        </w:tc>
        <w:tc>
          <w:tcPr>
            <w:tcW w:w="0" w:type="auto"/>
          </w:tcPr>
          <w:p w14:paraId="142197AA" w14:textId="77777777" w:rsidR="000D1D20" w:rsidRDefault="000D1D20" w:rsidP="001355DB">
            <w:pPr>
              <w:pStyle w:val="TableText"/>
            </w:pPr>
            <w:r>
              <w:t>x</w:t>
            </w:r>
          </w:p>
        </w:tc>
      </w:tr>
    </w:tbl>
    <w:p w14:paraId="6699762C" w14:textId="77777777" w:rsidR="000D1D20" w:rsidRDefault="000D1D20" w:rsidP="000D1D20">
      <w:pPr>
        <w:spacing w:before="80" w:after="80"/>
        <w:rPr>
          <w:b/>
          <w:color w:val="595959" w:themeColor="text1" w:themeTint="A6"/>
          <w:sz w:val="18"/>
        </w:rPr>
      </w:pPr>
      <w:r>
        <w:br w:type="page"/>
      </w:r>
    </w:p>
    <w:p w14:paraId="285772E4" w14:textId="3CAF6F7D" w:rsidR="000D1D20" w:rsidRDefault="000D1D20" w:rsidP="000D1D20">
      <w:pPr>
        <w:pStyle w:val="TableCaption"/>
      </w:pPr>
      <w:bookmarkStart w:id="342" w:name="_Toc156209463"/>
      <w:bookmarkStart w:id="343" w:name="_Toc164411299"/>
      <w:r>
        <w:lastRenderedPageBreak/>
        <w:t>Table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9</w:t>
      </w:r>
      <w:r w:rsidR="008647EF">
        <w:fldChar w:fldCharType="end"/>
      </w:r>
      <w:r>
        <w:tab/>
      </w:r>
      <w:r w:rsidRPr="00181B50">
        <w:t xml:space="preserve">MU4 – </w:t>
      </w:r>
      <w:r w:rsidRPr="00D54485">
        <w:t>Limekilns Point to Geake Point</w:t>
      </w:r>
      <w:r>
        <w:t xml:space="preserve"> recommendations in priority order.</w:t>
      </w:r>
      <w:bookmarkEnd w:id="342"/>
      <w:bookmarkEnd w:id="343"/>
    </w:p>
    <w:tbl>
      <w:tblPr>
        <w:tblStyle w:val="BlueTable"/>
        <w:tblW w:w="0" w:type="auto"/>
        <w:tblLook w:val="0620" w:firstRow="1" w:lastRow="0" w:firstColumn="0" w:lastColumn="0" w:noHBand="1" w:noVBand="1"/>
      </w:tblPr>
      <w:tblGrid>
        <w:gridCol w:w="3347"/>
        <w:gridCol w:w="4158"/>
        <w:gridCol w:w="2164"/>
        <w:gridCol w:w="3019"/>
        <w:gridCol w:w="2623"/>
        <w:gridCol w:w="1736"/>
        <w:gridCol w:w="728"/>
        <w:gridCol w:w="780"/>
        <w:gridCol w:w="780"/>
        <w:gridCol w:w="780"/>
      </w:tblGrid>
      <w:tr w:rsidR="000D1D20" w14:paraId="42990424" w14:textId="77777777" w:rsidTr="001355DB">
        <w:trPr>
          <w:cnfStyle w:val="100000000000" w:firstRow="1" w:lastRow="0" w:firstColumn="0" w:lastColumn="0" w:oddVBand="0" w:evenVBand="0" w:oddHBand="0" w:evenHBand="0" w:firstRowFirstColumn="0" w:firstRowLastColumn="0" w:lastRowFirstColumn="0" w:lastRowLastColumn="0"/>
        </w:trPr>
        <w:tc>
          <w:tcPr>
            <w:tcW w:w="0" w:type="auto"/>
          </w:tcPr>
          <w:p w14:paraId="3DDF66CD" w14:textId="77777777" w:rsidR="000D1D20" w:rsidRDefault="000D1D20" w:rsidP="001355DB">
            <w:pPr>
              <w:pStyle w:val="TableHeading"/>
            </w:pPr>
            <w:r>
              <w:t>Recommendation</w:t>
            </w:r>
          </w:p>
        </w:tc>
        <w:tc>
          <w:tcPr>
            <w:tcW w:w="0" w:type="auto"/>
          </w:tcPr>
          <w:p w14:paraId="3E77955F" w14:textId="77777777" w:rsidR="000D1D20" w:rsidRDefault="000D1D20" w:rsidP="001355DB">
            <w:pPr>
              <w:pStyle w:val="TableHeading"/>
            </w:pPr>
            <w:r>
              <w:t>Notes</w:t>
            </w:r>
          </w:p>
        </w:tc>
        <w:tc>
          <w:tcPr>
            <w:tcW w:w="0" w:type="auto"/>
          </w:tcPr>
          <w:p w14:paraId="0CAA419F" w14:textId="77777777" w:rsidR="000D1D20" w:rsidRDefault="000D1D20" w:rsidP="001355DB">
            <w:pPr>
              <w:pStyle w:val="TableHeading"/>
            </w:pPr>
            <w:r>
              <w:t>Responsibility</w:t>
            </w:r>
          </w:p>
        </w:tc>
        <w:tc>
          <w:tcPr>
            <w:tcW w:w="0" w:type="auto"/>
          </w:tcPr>
          <w:p w14:paraId="7AA417A5" w14:textId="77777777" w:rsidR="000D1D20" w:rsidRDefault="000D1D20" w:rsidP="001355DB">
            <w:pPr>
              <w:pStyle w:val="TableHeading"/>
            </w:pPr>
            <w:r>
              <w:t>Trigger</w:t>
            </w:r>
          </w:p>
        </w:tc>
        <w:tc>
          <w:tcPr>
            <w:tcW w:w="0" w:type="auto"/>
          </w:tcPr>
          <w:p w14:paraId="042C1F90" w14:textId="77777777" w:rsidR="000D1D20" w:rsidRDefault="000D1D20" w:rsidP="001355DB">
            <w:pPr>
              <w:pStyle w:val="TableHeading"/>
            </w:pPr>
            <w:r>
              <w:t>Cost</w:t>
            </w:r>
          </w:p>
        </w:tc>
        <w:tc>
          <w:tcPr>
            <w:tcW w:w="1623" w:type="dxa"/>
          </w:tcPr>
          <w:p w14:paraId="2BC38C4A" w14:textId="77777777" w:rsidR="000D1D20" w:rsidRDefault="000D1D20" w:rsidP="001355DB">
            <w:pPr>
              <w:pStyle w:val="TableHeading"/>
            </w:pPr>
            <w:r>
              <w:t>Funding</w:t>
            </w:r>
          </w:p>
        </w:tc>
        <w:tc>
          <w:tcPr>
            <w:tcW w:w="728" w:type="dxa"/>
          </w:tcPr>
          <w:p w14:paraId="07E9B679" w14:textId="77777777" w:rsidR="000D1D20" w:rsidRDefault="000D1D20" w:rsidP="001355DB">
            <w:pPr>
              <w:pStyle w:val="TableHeading"/>
            </w:pPr>
            <w:r>
              <w:t>2024-2025</w:t>
            </w:r>
          </w:p>
        </w:tc>
        <w:tc>
          <w:tcPr>
            <w:tcW w:w="0" w:type="auto"/>
          </w:tcPr>
          <w:p w14:paraId="2C09ED4A" w14:textId="77777777" w:rsidR="000D1D20" w:rsidRDefault="000D1D20" w:rsidP="001355DB">
            <w:pPr>
              <w:pStyle w:val="TableHeading"/>
            </w:pPr>
            <w:r>
              <w:t>2025-2035</w:t>
            </w:r>
          </w:p>
        </w:tc>
        <w:tc>
          <w:tcPr>
            <w:tcW w:w="0" w:type="auto"/>
          </w:tcPr>
          <w:p w14:paraId="13E1059B" w14:textId="77777777" w:rsidR="000D1D20" w:rsidRDefault="000D1D20" w:rsidP="001355DB">
            <w:pPr>
              <w:pStyle w:val="TableHeading"/>
            </w:pPr>
            <w:r>
              <w:t>2035-2050</w:t>
            </w:r>
          </w:p>
        </w:tc>
        <w:tc>
          <w:tcPr>
            <w:tcW w:w="0" w:type="auto"/>
          </w:tcPr>
          <w:p w14:paraId="3AA0B6FE" w14:textId="77777777" w:rsidR="000D1D20" w:rsidRPr="000D271C" w:rsidRDefault="000D1D20" w:rsidP="001355DB">
            <w:pPr>
              <w:pStyle w:val="TableHeading"/>
            </w:pPr>
            <w:r>
              <w:t>2050-2120</w:t>
            </w:r>
          </w:p>
        </w:tc>
      </w:tr>
      <w:tr w:rsidR="000D1D20" w14:paraId="1EFC3F5E" w14:textId="77777777" w:rsidTr="001355DB">
        <w:tc>
          <w:tcPr>
            <w:tcW w:w="0" w:type="auto"/>
          </w:tcPr>
          <w:p w14:paraId="0340B911" w14:textId="77777777" w:rsidR="000D1D20" w:rsidRDefault="000D1D20" w:rsidP="001355DB">
            <w:pPr>
              <w:pStyle w:val="TableText"/>
            </w:pPr>
            <w:r>
              <w:t>INVESTIGATION 1</w:t>
            </w:r>
          </w:p>
          <w:p w14:paraId="65086870" w14:textId="77777777" w:rsidR="000D1D20" w:rsidRDefault="000D1D20" w:rsidP="001355DB">
            <w:pPr>
              <w:pStyle w:val="TableText"/>
            </w:pPr>
            <w:r>
              <w:t>Update Foreshore Management Plans (FMPs)</w:t>
            </w:r>
          </w:p>
        </w:tc>
        <w:tc>
          <w:tcPr>
            <w:tcW w:w="0" w:type="auto"/>
          </w:tcPr>
          <w:p w14:paraId="0E9B716D" w14:textId="77777777" w:rsidR="000D1D20" w:rsidRDefault="000D1D20" w:rsidP="00FF5CBF">
            <w:pPr>
              <w:pStyle w:val="ListBullet0"/>
              <w:numPr>
                <w:ilvl w:val="0"/>
                <w:numId w:val="50"/>
              </w:numPr>
              <w:spacing w:beforeLines="40" w:before="96" w:afterLines="40" w:after="96" w:line="240" w:lineRule="auto"/>
            </w:pPr>
            <w:r>
              <w:t xml:space="preserve">Prepare an updated Foreshore Management Plan </w:t>
            </w:r>
          </w:p>
          <w:p w14:paraId="7C5B19D1" w14:textId="77777777" w:rsidR="000D1D20" w:rsidRDefault="000D1D20" w:rsidP="00FF5CBF">
            <w:pPr>
              <w:pStyle w:val="ListBullet0"/>
              <w:numPr>
                <w:ilvl w:val="0"/>
                <w:numId w:val="50"/>
              </w:numPr>
              <w:spacing w:beforeLines="40" w:before="96" w:afterLines="40" w:after="96" w:line="240" w:lineRule="auto"/>
            </w:pPr>
            <w:r>
              <w:t>An updated FMP could help increase the protective capacity of the natural dune system. Updates should address the requirements of SPP2.6 and incorporate the findings of this CHRMAP</w:t>
            </w:r>
          </w:p>
        </w:tc>
        <w:tc>
          <w:tcPr>
            <w:tcW w:w="0" w:type="auto"/>
          </w:tcPr>
          <w:p w14:paraId="4DFA621B" w14:textId="77777777" w:rsidR="000D1D20" w:rsidRDefault="000D1D20" w:rsidP="00FF5CBF">
            <w:pPr>
              <w:pStyle w:val="ListBullet0"/>
              <w:numPr>
                <w:ilvl w:val="0"/>
                <w:numId w:val="50"/>
              </w:numPr>
              <w:spacing w:beforeLines="40" w:before="96" w:afterLines="40" w:after="96" w:line="240" w:lineRule="auto"/>
            </w:pPr>
            <w:r>
              <w:t>LGA</w:t>
            </w:r>
          </w:p>
        </w:tc>
        <w:tc>
          <w:tcPr>
            <w:tcW w:w="0" w:type="auto"/>
          </w:tcPr>
          <w:p w14:paraId="19929754" w14:textId="77777777" w:rsidR="000D1D20" w:rsidRDefault="000D1D20" w:rsidP="00FF5CBF">
            <w:pPr>
              <w:pStyle w:val="ListBullet0"/>
              <w:numPr>
                <w:ilvl w:val="0"/>
                <w:numId w:val="50"/>
              </w:numPr>
              <w:spacing w:beforeLines="40" w:before="96" w:afterLines="40" w:after="96" w:line="240" w:lineRule="auto"/>
            </w:pPr>
            <w:r>
              <w:t>Completed CHRMAP</w:t>
            </w:r>
          </w:p>
        </w:tc>
        <w:tc>
          <w:tcPr>
            <w:tcW w:w="0" w:type="auto"/>
          </w:tcPr>
          <w:p w14:paraId="27C42C1D" w14:textId="77777777" w:rsidR="000D1D20" w:rsidRDefault="000D1D20" w:rsidP="00FF5CBF">
            <w:pPr>
              <w:pStyle w:val="ListBullet0"/>
              <w:numPr>
                <w:ilvl w:val="0"/>
                <w:numId w:val="50"/>
              </w:numPr>
              <w:spacing w:beforeLines="40" w:before="96" w:afterLines="40" w:after="96" w:line="240" w:lineRule="auto"/>
              <w:jc w:val="left"/>
            </w:pPr>
            <w:r>
              <w:t>$30,000</w:t>
            </w:r>
          </w:p>
          <w:p w14:paraId="2BDD09A9" w14:textId="77777777" w:rsidR="000D1D20" w:rsidRDefault="000D1D20" w:rsidP="00FF5CBF">
            <w:pPr>
              <w:pStyle w:val="ListBullet0"/>
              <w:numPr>
                <w:ilvl w:val="0"/>
                <w:numId w:val="50"/>
              </w:numPr>
              <w:spacing w:beforeLines="40" w:before="96" w:afterLines="40" w:after="96" w:line="240" w:lineRule="auto"/>
              <w:jc w:val="left"/>
            </w:pPr>
            <w:r>
              <w:t>Assumes only undertaken for this MU in isolation, but synergies should be investigated.</w:t>
            </w:r>
          </w:p>
        </w:tc>
        <w:tc>
          <w:tcPr>
            <w:tcW w:w="1623" w:type="dxa"/>
          </w:tcPr>
          <w:p w14:paraId="59C869EA" w14:textId="77777777" w:rsidR="000D1D20" w:rsidRDefault="000D1D20" w:rsidP="00FF5CBF">
            <w:pPr>
              <w:pStyle w:val="ListBullet0"/>
              <w:numPr>
                <w:ilvl w:val="0"/>
                <w:numId w:val="50"/>
              </w:numPr>
              <w:spacing w:beforeLines="40" w:before="96" w:afterLines="40" w:after="96" w:line="240" w:lineRule="auto"/>
            </w:pPr>
            <w:r>
              <w:t>Operational</w:t>
            </w:r>
          </w:p>
          <w:p w14:paraId="789427D2" w14:textId="77777777" w:rsidR="000D1D20" w:rsidRDefault="000D1D20" w:rsidP="00FF5CBF">
            <w:pPr>
              <w:pStyle w:val="ListBullet0"/>
              <w:numPr>
                <w:ilvl w:val="0"/>
                <w:numId w:val="50"/>
              </w:numPr>
              <w:spacing w:beforeLines="40" w:before="96" w:afterLines="40" w:after="96" w:line="240" w:lineRule="auto"/>
            </w:pPr>
            <w:r>
              <w:t>Grants (e.g. CMPAP)</w:t>
            </w:r>
          </w:p>
        </w:tc>
        <w:tc>
          <w:tcPr>
            <w:tcW w:w="728" w:type="dxa"/>
          </w:tcPr>
          <w:p w14:paraId="66C8A01E" w14:textId="77777777" w:rsidR="000D1D20" w:rsidRDefault="000D1D20" w:rsidP="001355DB">
            <w:pPr>
              <w:pStyle w:val="TableText"/>
            </w:pPr>
            <w:r>
              <w:t>x</w:t>
            </w:r>
          </w:p>
        </w:tc>
        <w:tc>
          <w:tcPr>
            <w:tcW w:w="0" w:type="auto"/>
          </w:tcPr>
          <w:p w14:paraId="39B3906A" w14:textId="77777777" w:rsidR="000D1D20" w:rsidRDefault="000D1D20" w:rsidP="001355DB">
            <w:pPr>
              <w:pStyle w:val="TableText"/>
            </w:pPr>
            <w:r>
              <w:t>x</w:t>
            </w:r>
          </w:p>
        </w:tc>
        <w:tc>
          <w:tcPr>
            <w:tcW w:w="0" w:type="auto"/>
          </w:tcPr>
          <w:p w14:paraId="38B81377" w14:textId="77777777" w:rsidR="000D1D20" w:rsidRDefault="000D1D20" w:rsidP="001355DB">
            <w:pPr>
              <w:pStyle w:val="TableText"/>
            </w:pPr>
            <w:r>
              <w:t>x</w:t>
            </w:r>
          </w:p>
        </w:tc>
        <w:tc>
          <w:tcPr>
            <w:tcW w:w="0" w:type="auto"/>
          </w:tcPr>
          <w:p w14:paraId="08CF97B9" w14:textId="77777777" w:rsidR="000D1D20" w:rsidRDefault="000D1D20" w:rsidP="001355DB">
            <w:pPr>
              <w:pStyle w:val="TableText"/>
            </w:pPr>
            <w:r>
              <w:t>x</w:t>
            </w:r>
          </w:p>
        </w:tc>
      </w:tr>
      <w:tr w:rsidR="000D1D20" w14:paraId="0A3C0E7F" w14:textId="77777777" w:rsidTr="001355DB">
        <w:tc>
          <w:tcPr>
            <w:tcW w:w="0" w:type="auto"/>
            <w:vAlign w:val="center"/>
          </w:tcPr>
          <w:p w14:paraId="4E17C49A" w14:textId="77777777" w:rsidR="000D1D20" w:rsidRDefault="000D1D20" w:rsidP="001355DB">
            <w:pPr>
              <w:pStyle w:val="TableText"/>
            </w:pPr>
            <w:r w:rsidRPr="000856DF">
              <w:t>Locating assets in areas that will not be vulnerable to coastal hazards (AV)</w:t>
            </w:r>
          </w:p>
        </w:tc>
        <w:tc>
          <w:tcPr>
            <w:tcW w:w="0" w:type="auto"/>
            <w:vAlign w:val="center"/>
          </w:tcPr>
          <w:p w14:paraId="00DE1E6B" w14:textId="77777777" w:rsidR="000D1D20" w:rsidRDefault="000D1D20" w:rsidP="00FF5CBF">
            <w:pPr>
              <w:pStyle w:val="ListBullet0"/>
              <w:numPr>
                <w:ilvl w:val="0"/>
                <w:numId w:val="50"/>
              </w:numPr>
              <w:spacing w:beforeLines="40" w:before="96" w:afterLines="40" w:after="96" w:line="240" w:lineRule="auto"/>
            </w:pPr>
            <w:r>
              <w:t>Item cost for investigations and management plans</w:t>
            </w:r>
          </w:p>
        </w:tc>
        <w:tc>
          <w:tcPr>
            <w:tcW w:w="0" w:type="auto"/>
          </w:tcPr>
          <w:p w14:paraId="64419382" w14:textId="77777777" w:rsidR="000D1D20" w:rsidRDefault="000D1D20" w:rsidP="00FF5CBF">
            <w:pPr>
              <w:pStyle w:val="ListBullet0"/>
              <w:numPr>
                <w:ilvl w:val="0"/>
                <w:numId w:val="50"/>
              </w:numPr>
              <w:spacing w:beforeLines="40" w:before="96" w:afterLines="40" w:after="96" w:line="240" w:lineRule="auto"/>
            </w:pPr>
            <w:r>
              <w:t>LGA</w:t>
            </w:r>
          </w:p>
        </w:tc>
        <w:tc>
          <w:tcPr>
            <w:tcW w:w="0" w:type="auto"/>
          </w:tcPr>
          <w:p w14:paraId="42C4DB9D" w14:textId="77777777" w:rsidR="000D1D20" w:rsidRDefault="000D1D20" w:rsidP="00FF5CBF">
            <w:pPr>
              <w:pStyle w:val="ListBullet0"/>
              <w:numPr>
                <w:ilvl w:val="0"/>
                <w:numId w:val="50"/>
              </w:numPr>
              <w:spacing w:beforeLines="40" w:before="96" w:afterLines="40" w:after="96" w:line="240" w:lineRule="auto"/>
            </w:pPr>
            <w:r>
              <w:t>Completed CHRMAP</w:t>
            </w:r>
          </w:p>
        </w:tc>
        <w:tc>
          <w:tcPr>
            <w:tcW w:w="0" w:type="auto"/>
          </w:tcPr>
          <w:p w14:paraId="1529DEDE" w14:textId="77777777" w:rsidR="000D1D20" w:rsidRDefault="000D1D20" w:rsidP="00FF5CBF">
            <w:pPr>
              <w:pStyle w:val="ListBullet0"/>
              <w:numPr>
                <w:ilvl w:val="0"/>
                <w:numId w:val="50"/>
              </w:numPr>
              <w:spacing w:beforeLines="40" w:before="96" w:afterLines="40" w:after="96" w:line="240" w:lineRule="auto"/>
              <w:jc w:val="left"/>
            </w:pPr>
            <w:r>
              <w:t>$50,000</w:t>
            </w:r>
          </w:p>
        </w:tc>
        <w:tc>
          <w:tcPr>
            <w:tcW w:w="1623" w:type="dxa"/>
          </w:tcPr>
          <w:p w14:paraId="0257B368" w14:textId="77777777" w:rsidR="000D1D20" w:rsidRDefault="000D1D20" w:rsidP="00FF5CBF">
            <w:pPr>
              <w:pStyle w:val="ListBullet0"/>
              <w:numPr>
                <w:ilvl w:val="0"/>
                <w:numId w:val="50"/>
              </w:numPr>
              <w:spacing w:beforeLines="40" w:before="96" w:afterLines="40" w:after="96" w:line="240" w:lineRule="auto"/>
            </w:pPr>
            <w:r>
              <w:t>Operational</w:t>
            </w:r>
          </w:p>
        </w:tc>
        <w:tc>
          <w:tcPr>
            <w:tcW w:w="728" w:type="dxa"/>
          </w:tcPr>
          <w:p w14:paraId="798A5E91" w14:textId="77777777" w:rsidR="000D1D20" w:rsidRDefault="000D1D20" w:rsidP="001355DB">
            <w:pPr>
              <w:pStyle w:val="TableText"/>
            </w:pPr>
            <w:r>
              <w:t>x</w:t>
            </w:r>
          </w:p>
        </w:tc>
        <w:tc>
          <w:tcPr>
            <w:tcW w:w="0" w:type="auto"/>
          </w:tcPr>
          <w:p w14:paraId="4C5ACCF3" w14:textId="77777777" w:rsidR="000D1D20" w:rsidRDefault="000D1D20" w:rsidP="001355DB">
            <w:pPr>
              <w:pStyle w:val="TableText"/>
            </w:pPr>
            <w:r>
              <w:t>x</w:t>
            </w:r>
          </w:p>
        </w:tc>
        <w:tc>
          <w:tcPr>
            <w:tcW w:w="0" w:type="auto"/>
          </w:tcPr>
          <w:p w14:paraId="527562D0" w14:textId="77777777" w:rsidR="000D1D20" w:rsidRDefault="000D1D20" w:rsidP="001355DB">
            <w:pPr>
              <w:pStyle w:val="TableText"/>
            </w:pPr>
          </w:p>
        </w:tc>
        <w:tc>
          <w:tcPr>
            <w:tcW w:w="0" w:type="auto"/>
          </w:tcPr>
          <w:p w14:paraId="7C5CABE9" w14:textId="77777777" w:rsidR="000D1D20" w:rsidRDefault="000D1D20" w:rsidP="001355DB">
            <w:pPr>
              <w:pStyle w:val="TableText"/>
            </w:pPr>
          </w:p>
        </w:tc>
      </w:tr>
      <w:tr w:rsidR="000D1D20" w14:paraId="63B717B0" w14:textId="77777777" w:rsidTr="001355DB">
        <w:tc>
          <w:tcPr>
            <w:tcW w:w="0" w:type="auto"/>
            <w:vAlign w:val="center"/>
          </w:tcPr>
          <w:p w14:paraId="3D04D390" w14:textId="77777777" w:rsidR="000D1D20" w:rsidRDefault="000D1D20" w:rsidP="001355DB">
            <w:pPr>
              <w:pStyle w:val="TableText"/>
            </w:pPr>
            <w:r w:rsidRPr="000856DF">
              <w:t>Monitoring (NR1)</w:t>
            </w:r>
          </w:p>
        </w:tc>
        <w:tc>
          <w:tcPr>
            <w:tcW w:w="0" w:type="auto"/>
            <w:vAlign w:val="center"/>
          </w:tcPr>
          <w:p w14:paraId="7D350257" w14:textId="77777777" w:rsidR="000D1D20" w:rsidRDefault="000D1D20" w:rsidP="00FF5CBF">
            <w:pPr>
              <w:pStyle w:val="ListBullet0"/>
              <w:numPr>
                <w:ilvl w:val="0"/>
                <w:numId w:val="50"/>
              </w:numPr>
              <w:spacing w:beforeLines="40" w:before="96" w:afterLines="40" w:after="96" w:line="240" w:lineRule="auto"/>
            </w:pPr>
            <w:r>
              <w:t>Beach survey for storm behaviour and to track HSD and inundation levels</w:t>
            </w:r>
          </w:p>
          <w:p w14:paraId="75A7CB4C" w14:textId="77777777" w:rsidR="000D1D20" w:rsidRDefault="000D1D20" w:rsidP="00FF5CBF">
            <w:pPr>
              <w:pStyle w:val="ListBullet0"/>
              <w:numPr>
                <w:ilvl w:val="0"/>
                <w:numId w:val="50"/>
              </w:numPr>
              <w:spacing w:beforeLines="40" w:before="96" w:afterLines="40" w:after="96" w:line="240" w:lineRule="auto"/>
            </w:pPr>
            <w:r>
              <w:t>Routine beach profiles every six months</w:t>
            </w:r>
          </w:p>
        </w:tc>
        <w:tc>
          <w:tcPr>
            <w:tcW w:w="0" w:type="auto"/>
          </w:tcPr>
          <w:p w14:paraId="412F2103" w14:textId="77777777" w:rsidR="000D1D20" w:rsidRDefault="000D1D20" w:rsidP="00FF5CBF">
            <w:pPr>
              <w:pStyle w:val="ListBullet0"/>
              <w:numPr>
                <w:ilvl w:val="0"/>
                <w:numId w:val="50"/>
              </w:numPr>
              <w:spacing w:beforeLines="40" w:before="96" w:afterLines="40" w:after="96" w:line="240" w:lineRule="auto"/>
            </w:pPr>
            <w:r>
              <w:t>LGA</w:t>
            </w:r>
          </w:p>
          <w:p w14:paraId="48125A6A" w14:textId="77777777" w:rsidR="000D1D20" w:rsidRDefault="000D1D20" w:rsidP="00FF5CBF">
            <w:pPr>
              <w:pStyle w:val="ListBullet0"/>
              <w:numPr>
                <w:ilvl w:val="0"/>
                <w:numId w:val="50"/>
              </w:numPr>
              <w:spacing w:beforeLines="40" w:before="96" w:afterLines="40" w:after="96" w:line="240" w:lineRule="auto"/>
            </w:pPr>
            <w:r>
              <w:t>Can seek support and assistance from DoT</w:t>
            </w:r>
          </w:p>
        </w:tc>
        <w:tc>
          <w:tcPr>
            <w:tcW w:w="0" w:type="auto"/>
          </w:tcPr>
          <w:p w14:paraId="032364AF" w14:textId="77777777" w:rsidR="000D1D20" w:rsidRDefault="000D1D20" w:rsidP="00FF5CBF">
            <w:pPr>
              <w:pStyle w:val="ListBullet0"/>
              <w:numPr>
                <w:ilvl w:val="0"/>
                <w:numId w:val="50"/>
              </w:numPr>
              <w:spacing w:beforeLines="40" w:before="96" w:afterLines="40" w:after="96" w:line="240" w:lineRule="auto"/>
            </w:pPr>
            <w:r>
              <w:t>Completed CHRMAP</w:t>
            </w:r>
          </w:p>
          <w:p w14:paraId="7FDA4EAF" w14:textId="77777777" w:rsidR="000D1D20" w:rsidRDefault="000D1D20" w:rsidP="00FF5CBF">
            <w:pPr>
              <w:pStyle w:val="ListBullet0"/>
              <w:numPr>
                <w:ilvl w:val="0"/>
                <w:numId w:val="50"/>
              </w:numPr>
              <w:spacing w:beforeLines="40" w:before="96" w:afterLines="40" w:after="96" w:line="240" w:lineRule="auto"/>
            </w:pPr>
            <w:r>
              <w:t>Severe storm event(s)</w:t>
            </w:r>
          </w:p>
        </w:tc>
        <w:tc>
          <w:tcPr>
            <w:tcW w:w="0" w:type="auto"/>
          </w:tcPr>
          <w:p w14:paraId="750989DB" w14:textId="77777777" w:rsidR="000D1D20" w:rsidRDefault="000D1D20" w:rsidP="00FF5CBF">
            <w:pPr>
              <w:pStyle w:val="ListBullet0"/>
              <w:numPr>
                <w:ilvl w:val="0"/>
                <w:numId w:val="50"/>
              </w:numPr>
              <w:spacing w:beforeLines="40" w:before="96" w:afterLines="40" w:after="96" w:line="240" w:lineRule="auto"/>
              <w:jc w:val="left"/>
            </w:pPr>
            <w:r>
              <w:t>$7,500 annually</w:t>
            </w:r>
          </w:p>
        </w:tc>
        <w:tc>
          <w:tcPr>
            <w:tcW w:w="1623" w:type="dxa"/>
          </w:tcPr>
          <w:p w14:paraId="09FA9843" w14:textId="77777777" w:rsidR="000D1D20" w:rsidRDefault="000D1D20" w:rsidP="00FF5CBF">
            <w:pPr>
              <w:pStyle w:val="ListBullet0"/>
              <w:numPr>
                <w:ilvl w:val="0"/>
                <w:numId w:val="50"/>
              </w:numPr>
              <w:spacing w:beforeLines="40" w:before="96" w:afterLines="40" w:after="96" w:line="240" w:lineRule="auto"/>
            </w:pPr>
            <w:r>
              <w:t>Operational</w:t>
            </w:r>
          </w:p>
          <w:p w14:paraId="6DB005FF" w14:textId="77777777" w:rsidR="000D1D20" w:rsidRDefault="000D1D20" w:rsidP="00FF5CBF">
            <w:pPr>
              <w:pStyle w:val="ListBullet0"/>
              <w:numPr>
                <w:ilvl w:val="0"/>
                <w:numId w:val="50"/>
              </w:numPr>
              <w:spacing w:beforeLines="40" w:before="96" w:afterLines="40" w:after="96" w:line="240" w:lineRule="auto"/>
            </w:pPr>
            <w:r>
              <w:t>Grants (e.g. CAP)</w:t>
            </w:r>
          </w:p>
        </w:tc>
        <w:tc>
          <w:tcPr>
            <w:tcW w:w="728" w:type="dxa"/>
          </w:tcPr>
          <w:p w14:paraId="14E308AB" w14:textId="77777777" w:rsidR="000D1D20" w:rsidRDefault="000D1D20" w:rsidP="001355DB">
            <w:pPr>
              <w:pStyle w:val="TableText"/>
            </w:pPr>
            <w:r>
              <w:t>x</w:t>
            </w:r>
          </w:p>
        </w:tc>
        <w:tc>
          <w:tcPr>
            <w:tcW w:w="0" w:type="auto"/>
          </w:tcPr>
          <w:p w14:paraId="64D03381" w14:textId="77777777" w:rsidR="000D1D20" w:rsidRDefault="000D1D20" w:rsidP="001355DB">
            <w:pPr>
              <w:pStyle w:val="TableText"/>
            </w:pPr>
            <w:r>
              <w:t>x</w:t>
            </w:r>
          </w:p>
        </w:tc>
        <w:tc>
          <w:tcPr>
            <w:tcW w:w="0" w:type="auto"/>
          </w:tcPr>
          <w:p w14:paraId="2254BC39" w14:textId="77777777" w:rsidR="000D1D20" w:rsidRDefault="000D1D20" w:rsidP="001355DB">
            <w:pPr>
              <w:pStyle w:val="TableText"/>
            </w:pPr>
            <w:r>
              <w:t>x</w:t>
            </w:r>
          </w:p>
        </w:tc>
        <w:tc>
          <w:tcPr>
            <w:tcW w:w="0" w:type="auto"/>
          </w:tcPr>
          <w:p w14:paraId="27C5A0D0" w14:textId="77777777" w:rsidR="000D1D20" w:rsidRDefault="000D1D20" w:rsidP="001355DB">
            <w:pPr>
              <w:pStyle w:val="TableText"/>
            </w:pPr>
            <w:r>
              <w:t>x</w:t>
            </w:r>
          </w:p>
        </w:tc>
      </w:tr>
      <w:tr w:rsidR="000D1D20" w14:paraId="51EDAE7B" w14:textId="77777777" w:rsidTr="001355DB">
        <w:tc>
          <w:tcPr>
            <w:tcW w:w="0" w:type="auto"/>
            <w:vAlign w:val="center"/>
          </w:tcPr>
          <w:p w14:paraId="0214A9C3" w14:textId="77777777" w:rsidR="000D1D20" w:rsidRDefault="000D1D20" w:rsidP="001355DB">
            <w:pPr>
              <w:pStyle w:val="TableText"/>
            </w:pPr>
            <w:r w:rsidRPr="000856DF">
              <w:t>Notification on title (NR3)</w:t>
            </w:r>
          </w:p>
        </w:tc>
        <w:tc>
          <w:tcPr>
            <w:tcW w:w="0" w:type="auto"/>
            <w:vAlign w:val="center"/>
          </w:tcPr>
          <w:p w14:paraId="6DC143C0" w14:textId="77777777" w:rsidR="000D1D20" w:rsidRDefault="000D1D20" w:rsidP="00FF5CBF">
            <w:pPr>
              <w:pStyle w:val="ListBullet0"/>
              <w:numPr>
                <w:ilvl w:val="0"/>
                <w:numId w:val="50"/>
              </w:numPr>
              <w:spacing w:beforeLines="40" w:before="96" w:afterLines="40" w:after="96" w:line="240" w:lineRule="auto"/>
            </w:pPr>
            <w:r>
              <w:t>Item cost for investigations and implementation plans</w:t>
            </w:r>
          </w:p>
        </w:tc>
        <w:tc>
          <w:tcPr>
            <w:tcW w:w="0" w:type="auto"/>
          </w:tcPr>
          <w:p w14:paraId="2A511982" w14:textId="77777777" w:rsidR="000D1D20" w:rsidRDefault="000D1D20" w:rsidP="00FF5CBF">
            <w:pPr>
              <w:pStyle w:val="ListBullet0"/>
              <w:numPr>
                <w:ilvl w:val="0"/>
                <w:numId w:val="50"/>
              </w:numPr>
              <w:spacing w:beforeLines="40" w:before="96" w:afterLines="40" w:after="96" w:line="240" w:lineRule="auto"/>
            </w:pPr>
            <w:r>
              <w:t>LGA</w:t>
            </w:r>
          </w:p>
          <w:p w14:paraId="044C6B45" w14:textId="77777777" w:rsidR="000D1D20" w:rsidRDefault="000D1D20" w:rsidP="00FF5CBF">
            <w:pPr>
              <w:pStyle w:val="ListBullet0"/>
              <w:numPr>
                <w:ilvl w:val="0"/>
                <w:numId w:val="50"/>
              </w:numPr>
              <w:spacing w:beforeLines="40" w:before="96" w:afterLines="40" w:after="96" w:line="240" w:lineRule="auto"/>
            </w:pPr>
            <w:r>
              <w:t>Can seek support and assistance from DPLH, WALGA</w:t>
            </w:r>
          </w:p>
        </w:tc>
        <w:tc>
          <w:tcPr>
            <w:tcW w:w="0" w:type="auto"/>
          </w:tcPr>
          <w:p w14:paraId="02BBDDC8" w14:textId="77777777" w:rsidR="000D1D20" w:rsidRDefault="000D1D20" w:rsidP="00FF5CBF">
            <w:pPr>
              <w:pStyle w:val="ListBullet0"/>
              <w:numPr>
                <w:ilvl w:val="0"/>
                <w:numId w:val="50"/>
              </w:numPr>
              <w:spacing w:beforeLines="40" w:before="96" w:afterLines="40" w:after="96" w:line="240" w:lineRule="auto"/>
            </w:pPr>
            <w:r>
              <w:t>Completed CHRMAP</w:t>
            </w:r>
          </w:p>
        </w:tc>
        <w:tc>
          <w:tcPr>
            <w:tcW w:w="0" w:type="auto"/>
          </w:tcPr>
          <w:p w14:paraId="7C37FF78" w14:textId="77777777" w:rsidR="000D1D20" w:rsidRDefault="000D1D20" w:rsidP="00FF5CBF">
            <w:pPr>
              <w:pStyle w:val="ListBullet0"/>
              <w:numPr>
                <w:ilvl w:val="0"/>
                <w:numId w:val="50"/>
              </w:numPr>
              <w:spacing w:beforeLines="40" w:before="96" w:afterLines="40" w:after="96" w:line="240" w:lineRule="auto"/>
              <w:jc w:val="left"/>
            </w:pPr>
            <w:r>
              <w:t>$50,000</w:t>
            </w:r>
          </w:p>
          <w:p w14:paraId="0B50992F" w14:textId="77777777" w:rsidR="000D1D20" w:rsidRDefault="000D1D20" w:rsidP="00FF5CBF">
            <w:pPr>
              <w:pStyle w:val="ListBullet0"/>
              <w:numPr>
                <w:ilvl w:val="0"/>
                <w:numId w:val="50"/>
              </w:numPr>
              <w:spacing w:beforeLines="40" w:before="96" w:afterLines="40" w:after="96" w:line="240" w:lineRule="auto"/>
              <w:jc w:val="left"/>
            </w:pPr>
            <w:r>
              <w:t>(Plus 1% annual maintenance of $500)</w:t>
            </w:r>
          </w:p>
        </w:tc>
        <w:tc>
          <w:tcPr>
            <w:tcW w:w="1623" w:type="dxa"/>
          </w:tcPr>
          <w:p w14:paraId="2E114A8F" w14:textId="77777777" w:rsidR="000D1D20" w:rsidRDefault="000D1D20" w:rsidP="00FF5CBF">
            <w:pPr>
              <w:pStyle w:val="ListBullet0"/>
              <w:numPr>
                <w:ilvl w:val="0"/>
                <w:numId w:val="50"/>
              </w:numPr>
              <w:spacing w:beforeLines="40" w:before="96" w:afterLines="40" w:after="96" w:line="240" w:lineRule="auto"/>
            </w:pPr>
            <w:r>
              <w:t>Operational</w:t>
            </w:r>
          </w:p>
          <w:p w14:paraId="68662969" w14:textId="77777777" w:rsidR="000D1D20" w:rsidRDefault="000D1D20" w:rsidP="00FF5CBF">
            <w:pPr>
              <w:pStyle w:val="ListBullet0"/>
              <w:numPr>
                <w:ilvl w:val="0"/>
                <w:numId w:val="50"/>
              </w:numPr>
              <w:spacing w:beforeLines="40" w:before="96" w:afterLines="40" w:after="96" w:line="240" w:lineRule="auto"/>
            </w:pPr>
            <w:r>
              <w:t>Grants (e.g. CMPAP)</w:t>
            </w:r>
          </w:p>
        </w:tc>
        <w:tc>
          <w:tcPr>
            <w:tcW w:w="728" w:type="dxa"/>
          </w:tcPr>
          <w:p w14:paraId="324F9CB4" w14:textId="77777777" w:rsidR="000D1D20" w:rsidRDefault="000D1D20" w:rsidP="001355DB">
            <w:pPr>
              <w:pStyle w:val="TableText"/>
            </w:pPr>
            <w:r>
              <w:t>x</w:t>
            </w:r>
          </w:p>
        </w:tc>
        <w:tc>
          <w:tcPr>
            <w:tcW w:w="0" w:type="auto"/>
          </w:tcPr>
          <w:p w14:paraId="333B6D06" w14:textId="77777777" w:rsidR="000D1D20" w:rsidRDefault="000D1D20" w:rsidP="001355DB">
            <w:pPr>
              <w:pStyle w:val="TableText"/>
            </w:pPr>
            <w:r>
              <w:t>x</w:t>
            </w:r>
          </w:p>
        </w:tc>
        <w:tc>
          <w:tcPr>
            <w:tcW w:w="0" w:type="auto"/>
          </w:tcPr>
          <w:p w14:paraId="09D24B89" w14:textId="77777777" w:rsidR="000D1D20" w:rsidRDefault="000D1D20" w:rsidP="001355DB">
            <w:pPr>
              <w:pStyle w:val="TableText"/>
            </w:pPr>
          </w:p>
        </w:tc>
        <w:tc>
          <w:tcPr>
            <w:tcW w:w="0" w:type="auto"/>
          </w:tcPr>
          <w:p w14:paraId="63A87DC4" w14:textId="77777777" w:rsidR="000D1D20" w:rsidRDefault="000D1D20" w:rsidP="001355DB">
            <w:pPr>
              <w:pStyle w:val="TableText"/>
            </w:pPr>
          </w:p>
        </w:tc>
      </w:tr>
      <w:tr w:rsidR="000D1D20" w14:paraId="05C456B2" w14:textId="77777777" w:rsidTr="001355DB">
        <w:tc>
          <w:tcPr>
            <w:tcW w:w="0" w:type="auto"/>
            <w:vAlign w:val="center"/>
          </w:tcPr>
          <w:p w14:paraId="264B7C34" w14:textId="77777777" w:rsidR="000D1D20" w:rsidRDefault="000D1D20" w:rsidP="001355DB">
            <w:pPr>
              <w:pStyle w:val="TableText"/>
            </w:pPr>
            <w:r w:rsidRPr="000856DF">
              <w:t>Emergency evacuation plans (NR4)</w:t>
            </w:r>
          </w:p>
        </w:tc>
        <w:tc>
          <w:tcPr>
            <w:tcW w:w="0" w:type="auto"/>
            <w:vAlign w:val="center"/>
          </w:tcPr>
          <w:p w14:paraId="38E8905D" w14:textId="77777777" w:rsidR="000D1D20" w:rsidRDefault="000D1D20" w:rsidP="00FF5CBF">
            <w:pPr>
              <w:pStyle w:val="ListBullet0"/>
              <w:numPr>
                <w:ilvl w:val="0"/>
                <w:numId w:val="50"/>
              </w:numPr>
              <w:spacing w:beforeLines="40" w:before="96" w:afterLines="40" w:after="96" w:line="240" w:lineRule="auto"/>
            </w:pPr>
            <w:r>
              <w:t>Item cost for investigations and evacuation plans</w:t>
            </w:r>
          </w:p>
        </w:tc>
        <w:tc>
          <w:tcPr>
            <w:tcW w:w="0" w:type="auto"/>
          </w:tcPr>
          <w:p w14:paraId="4CF6FF79" w14:textId="77777777" w:rsidR="000D1D20" w:rsidRDefault="000D1D20" w:rsidP="00FF5CBF">
            <w:pPr>
              <w:pStyle w:val="ListBullet0"/>
              <w:numPr>
                <w:ilvl w:val="0"/>
                <w:numId w:val="50"/>
              </w:numPr>
              <w:spacing w:beforeLines="40" w:before="96" w:afterLines="40" w:after="96" w:line="240" w:lineRule="auto"/>
            </w:pPr>
            <w:r>
              <w:t>LGA</w:t>
            </w:r>
          </w:p>
        </w:tc>
        <w:tc>
          <w:tcPr>
            <w:tcW w:w="0" w:type="auto"/>
          </w:tcPr>
          <w:p w14:paraId="3AB3ADEF" w14:textId="77777777" w:rsidR="000D1D20" w:rsidRDefault="000D1D20" w:rsidP="00FF5CBF">
            <w:pPr>
              <w:pStyle w:val="ListBullet0"/>
              <w:numPr>
                <w:ilvl w:val="0"/>
                <w:numId w:val="50"/>
              </w:numPr>
              <w:spacing w:beforeLines="40" w:before="96" w:afterLines="40" w:after="96" w:line="240" w:lineRule="auto"/>
            </w:pPr>
            <w:r>
              <w:t>Completed CHRMAP</w:t>
            </w:r>
          </w:p>
        </w:tc>
        <w:tc>
          <w:tcPr>
            <w:tcW w:w="0" w:type="auto"/>
          </w:tcPr>
          <w:p w14:paraId="1A246FA9" w14:textId="77777777" w:rsidR="000D1D20" w:rsidRDefault="000D1D20" w:rsidP="00FF5CBF">
            <w:pPr>
              <w:pStyle w:val="ListBullet0"/>
              <w:numPr>
                <w:ilvl w:val="0"/>
                <w:numId w:val="50"/>
              </w:numPr>
              <w:spacing w:beforeLines="40" w:before="96" w:afterLines="40" w:after="96" w:line="240" w:lineRule="auto"/>
              <w:jc w:val="left"/>
            </w:pPr>
            <w:r>
              <w:t>$20,000</w:t>
            </w:r>
          </w:p>
          <w:p w14:paraId="02DC64F7" w14:textId="77777777" w:rsidR="000D1D20" w:rsidRDefault="000D1D20" w:rsidP="00FF5CBF">
            <w:pPr>
              <w:pStyle w:val="ListBullet0"/>
              <w:numPr>
                <w:ilvl w:val="0"/>
                <w:numId w:val="50"/>
              </w:numPr>
              <w:spacing w:beforeLines="40" w:before="96" w:afterLines="40" w:after="96" w:line="240" w:lineRule="auto"/>
              <w:jc w:val="left"/>
            </w:pPr>
            <w:r>
              <w:t>(Plus 1% annual maintenance of $200)</w:t>
            </w:r>
          </w:p>
        </w:tc>
        <w:tc>
          <w:tcPr>
            <w:tcW w:w="1623" w:type="dxa"/>
          </w:tcPr>
          <w:p w14:paraId="5C19FE8B" w14:textId="77777777" w:rsidR="000D1D20" w:rsidRDefault="000D1D20" w:rsidP="00FF5CBF">
            <w:pPr>
              <w:pStyle w:val="ListBullet0"/>
              <w:numPr>
                <w:ilvl w:val="0"/>
                <w:numId w:val="50"/>
              </w:numPr>
              <w:spacing w:beforeLines="40" w:before="96" w:afterLines="40" w:after="96" w:line="240" w:lineRule="auto"/>
            </w:pPr>
            <w:r>
              <w:t>Operational</w:t>
            </w:r>
          </w:p>
          <w:p w14:paraId="6C46F7C8" w14:textId="77777777" w:rsidR="000D1D20" w:rsidRDefault="000D1D20" w:rsidP="00FF5CBF">
            <w:pPr>
              <w:pStyle w:val="ListBullet0"/>
              <w:numPr>
                <w:ilvl w:val="0"/>
                <w:numId w:val="50"/>
              </w:numPr>
              <w:spacing w:beforeLines="40" w:before="96" w:afterLines="40" w:after="96" w:line="240" w:lineRule="auto"/>
            </w:pPr>
            <w:r>
              <w:t>Grants (e.g. DRF)</w:t>
            </w:r>
          </w:p>
        </w:tc>
        <w:tc>
          <w:tcPr>
            <w:tcW w:w="728" w:type="dxa"/>
          </w:tcPr>
          <w:p w14:paraId="799CA9F7" w14:textId="77777777" w:rsidR="000D1D20" w:rsidRDefault="000D1D20" w:rsidP="001355DB">
            <w:pPr>
              <w:pStyle w:val="TableText"/>
            </w:pPr>
            <w:r>
              <w:t>x</w:t>
            </w:r>
          </w:p>
        </w:tc>
        <w:tc>
          <w:tcPr>
            <w:tcW w:w="0" w:type="auto"/>
          </w:tcPr>
          <w:p w14:paraId="0A3161BE" w14:textId="77777777" w:rsidR="000D1D20" w:rsidRDefault="000D1D20" w:rsidP="001355DB">
            <w:pPr>
              <w:pStyle w:val="TableText"/>
            </w:pPr>
            <w:r>
              <w:t>x</w:t>
            </w:r>
          </w:p>
        </w:tc>
        <w:tc>
          <w:tcPr>
            <w:tcW w:w="0" w:type="auto"/>
          </w:tcPr>
          <w:p w14:paraId="237F76FD" w14:textId="77777777" w:rsidR="000D1D20" w:rsidRDefault="000D1D20" w:rsidP="001355DB">
            <w:pPr>
              <w:pStyle w:val="TableText"/>
            </w:pPr>
          </w:p>
        </w:tc>
        <w:tc>
          <w:tcPr>
            <w:tcW w:w="0" w:type="auto"/>
          </w:tcPr>
          <w:p w14:paraId="6C048DE4" w14:textId="77777777" w:rsidR="000D1D20" w:rsidRDefault="000D1D20" w:rsidP="001355DB">
            <w:pPr>
              <w:pStyle w:val="TableText"/>
            </w:pPr>
          </w:p>
        </w:tc>
      </w:tr>
      <w:tr w:rsidR="000D1D20" w14:paraId="0056D9B1" w14:textId="77777777" w:rsidTr="001355DB">
        <w:tc>
          <w:tcPr>
            <w:tcW w:w="0" w:type="auto"/>
          </w:tcPr>
          <w:p w14:paraId="583EAFAC" w14:textId="77777777" w:rsidR="000D1D20" w:rsidRPr="005B1A1A" w:rsidRDefault="000D1D20" w:rsidP="001355DB">
            <w:pPr>
              <w:pStyle w:val="TableText"/>
            </w:pPr>
            <w:r w:rsidRPr="005B1A1A">
              <w:t xml:space="preserve">INVESTIGATION </w:t>
            </w:r>
            <w:r>
              <w:t>2</w:t>
            </w:r>
          </w:p>
          <w:p w14:paraId="77E63E7C" w14:textId="77777777" w:rsidR="000D1D20" w:rsidRPr="000856DF" w:rsidRDefault="000D1D20" w:rsidP="001355DB">
            <w:pPr>
              <w:pStyle w:val="TableText"/>
            </w:pPr>
            <w:r w:rsidRPr="005B1A1A">
              <w:t>Sand Source Feasibility Study</w:t>
            </w:r>
          </w:p>
        </w:tc>
        <w:tc>
          <w:tcPr>
            <w:tcW w:w="0" w:type="auto"/>
          </w:tcPr>
          <w:p w14:paraId="56F8158E" w14:textId="77777777" w:rsidR="000D1D20" w:rsidRDefault="000D1D20" w:rsidP="00FF5CBF">
            <w:pPr>
              <w:pStyle w:val="ListBullet0"/>
              <w:numPr>
                <w:ilvl w:val="0"/>
                <w:numId w:val="50"/>
              </w:numPr>
              <w:spacing w:beforeLines="40" w:before="96" w:afterLines="40" w:after="96" w:line="240" w:lineRule="auto"/>
            </w:pPr>
            <w:r>
              <w:t xml:space="preserve">Determine the availability and cost of local appropriate material for levee construction and potentially to raise height of land in inundation hazard zones. </w:t>
            </w:r>
          </w:p>
          <w:p w14:paraId="065FC1D4" w14:textId="77777777" w:rsidR="000D1D20" w:rsidRDefault="000D1D20" w:rsidP="00FF5CBF">
            <w:pPr>
              <w:pStyle w:val="ListBullet0"/>
              <w:numPr>
                <w:ilvl w:val="0"/>
                <w:numId w:val="50"/>
              </w:numPr>
              <w:spacing w:beforeLines="40" w:before="96" w:afterLines="40" w:after="96" w:line="240" w:lineRule="auto"/>
            </w:pPr>
            <w:r>
              <w:t>Undertake early stakeholder engagement and consider approvals required.</w:t>
            </w:r>
          </w:p>
        </w:tc>
        <w:tc>
          <w:tcPr>
            <w:tcW w:w="0" w:type="auto"/>
          </w:tcPr>
          <w:p w14:paraId="229BA24E" w14:textId="77777777" w:rsidR="000D1D20" w:rsidRDefault="000D1D20" w:rsidP="00FF5CBF">
            <w:pPr>
              <w:pStyle w:val="ListBullet0"/>
              <w:numPr>
                <w:ilvl w:val="0"/>
                <w:numId w:val="50"/>
              </w:numPr>
              <w:spacing w:beforeLines="40" w:before="96" w:afterLines="40" w:after="96" w:line="240" w:lineRule="auto"/>
            </w:pPr>
            <w:r>
              <w:t>LGA</w:t>
            </w:r>
          </w:p>
          <w:p w14:paraId="47AE5E55" w14:textId="77777777" w:rsidR="000D1D20" w:rsidRDefault="000D1D20" w:rsidP="00FF5CBF">
            <w:pPr>
              <w:pStyle w:val="ListBullet0"/>
              <w:numPr>
                <w:ilvl w:val="0"/>
                <w:numId w:val="50"/>
              </w:numPr>
              <w:spacing w:beforeLines="40" w:before="96" w:afterLines="40" w:after="96" w:line="240" w:lineRule="auto"/>
            </w:pPr>
            <w:r>
              <w:t>Can seek support from state departments</w:t>
            </w:r>
          </w:p>
        </w:tc>
        <w:tc>
          <w:tcPr>
            <w:tcW w:w="0" w:type="auto"/>
          </w:tcPr>
          <w:p w14:paraId="0765AE1C" w14:textId="77777777" w:rsidR="000D1D20" w:rsidRDefault="000D1D20" w:rsidP="00FF5CBF">
            <w:pPr>
              <w:pStyle w:val="ListBullet0"/>
              <w:numPr>
                <w:ilvl w:val="0"/>
                <w:numId w:val="50"/>
              </w:numPr>
              <w:spacing w:beforeLines="40" w:before="96" w:afterLines="40" w:after="96" w:line="240" w:lineRule="auto"/>
            </w:pPr>
            <w:r>
              <w:t>Completed CHRMAP</w:t>
            </w:r>
          </w:p>
        </w:tc>
        <w:tc>
          <w:tcPr>
            <w:tcW w:w="0" w:type="auto"/>
          </w:tcPr>
          <w:p w14:paraId="62D529BB" w14:textId="77777777" w:rsidR="000D1D20" w:rsidRDefault="000D1D20" w:rsidP="00FF5CBF">
            <w:pPr>
              <w:pStyle w:val="ListBullet0"/>
              <w:numPr>
                <w:ilvl w:val="0"/>
                <w:numId w:val="50"/>
              </w:numPr>
              <w:spacing w:beforeLines="40" w:before="96" w:afterLines="40" w:after="96" w:line="240" w:lineRule="auto"/>
              <w:jc w:val="left"/>
            </w:pPr>
            <w:r>
              <w:t>$150,000</w:t>
            </w:r>
          </w:p>
          <w:p w14:paraId="26AEE8AA" w14:textId="77777777" w:rsidR="000D1D20" w:rsidRPr="00080254" w:rsidRDefault="000D1D20" w:rsidP="00FF5CBF">
            <w:pPr>
              <w:pStyle w:val="ListBullet0"/>
              <w:numPr>
                <w:ilvl w:val="0"/>
                <w:numId w:val="50"/>
              </w:numPr>
              <w:spacing w:beforeLines="40" w:before="96" w:afterLines="40" w:after="96" w:line="240" w:lineRule="auto"/>
              <w:jc w:val="left"/>
            </w:pPr>
            <w:r>
              <w:t>Assumes undertaken for all MUs</w:t>
            </w:r>
          </w:p>
        </w:tc>
        <w:tc>
          <w:tcPr>
            <w:tcW w:w="1623" w:type="dxa"/>
          </w:tcPr>
          <w:p w14:paraId="1F2093A8" w14:textId="77777777" w:rsidR="000D1D20" w:rsidRDefault="000D1D20" w:rsidP="00FF5CBF">
            <w:pPr>
              <w:pStyle w:val="ListBullet0"/>
              <w:numPr>
                <w:ilvl w:val="0"/>
                <w:numId w:val="50"/>
              </w:numPr>
              <w:spacing w:beforeLines="40" w:before="96" w:afterLines="40" w:after="96" w:line="240" w:lineRule="auto"/>
            </w:pPr>
            <w:r>
              <w:t>Operational</w:t>
            </w:r>
          </w:p>
          <w:p w14:paraId="3FCD5BF6" w14:textId="77777777" w:rsidR="000D1D20" w:rsidRDefault="000D1D20" w:rsidP="00FF5CBF">
            <w:pPr>
              <w:pStyle w:val="ListBullet0"/>
              <w:numPr>
                <w:ilvl w:val="0"/>
                <w:numId w:val="50"/>
              </w:numPr>
              <w:spacing w:beforeLines="40" w:before="96" w:afterLines="40" w:after="96" w:line="240" w:lineRule="auto"/>
            </w:pPr>
            <w:r>
              <w:t>Grants (e.g. CAP)</w:t>
            </w:r>
          </w:p>
        </w:tc>
        <w:tc>
          <w:tcPr>
            <w:tcW w:w="728" w:type="dxa"/>
          </w:tcPr>
          <w:p w14:paraId="444DD498" w14:textId="77777777" w:rsidR="000D1D20" w:rsidRDefault="000D1D20" w:rsidP="001355DB">
            <w:pPr>
              <w:pStyle w:val="TableText"/>
            </w:pPr>
            <w:r>
              <w:t>x</w:t>
            </w:r>
          </w:p>
        </w:tc>
        <w:tc>
          <w:tcPr>
            <w:tcW w:w="0" w:type="auto"/>
          </w:tcPr>
          <w:p w14:paraId="78E19818" w14:textId="77777777" w:rsidR="000D1D20" w:rsidRDefault="000D1D20" w:rsidP="001355DB">
            <w:pPr>
              <w:pStyle w:val="TableText"/>
            </w:pPr>
            <w:r>
              <w:t>x</w:t>
            </w:r>
          </w:p>
        </w:tc>
        <w:tc>
          <w:tcPr>
            <w:tcW w:w="0" w:type="auto"/>
          </w:tcPr>
          <w:p w14:paraId="0194B880" w14:textId="77777777" w:rsidR="000D1D20" w:rsidRDefault="000D1D20" w:rsidP="001355DB">
            <w:pPr>
              <w:pStyle w:val="TableText"/>
            </w:pPr>
          </w:p>
        </w:tc>
        <w:tc>
          <w:tcPr>
            <w:tcW w:w="0" w:type="auto"/>
          </w:tcPr>
          <w:p w14:paraId="4176A9A4" w14:textId="77777777" w:rsidR="000D1D20" w:rsidRDefault="000D1D20" w:rsidP="001355DB">
            <w:pPr>
              <w:pStyle w:val="TableText"/>
            </w:pPr>
          </w:p>
        </w:tc>
      </w:tr>
      <w:tr w:rsidR="000D1D20" w14:paraId="67D1DEDF" w14:textId="77777777" w:rsidTr="001355DB">
        <w:tc>
          <w:tcPr>
            <w:tcW w:w="0" w:type="auto"/>
            <w:vAlign w:val="center"/>
          </w:tcPr>
          <w:p w14:paraId="1EEA0377" w14:textId="77777777" w:rsidR="000D1D20" w:rsidRDefault="000D1D20" w:rsidP="001355DB">
            <w:pPr>
              <w:pStyle w:val="TableText"/>
            </w:pPr>
            <w:r w:rsidRPr="000856DF">
              <w:t>Demolition / removal / relocation of asset from inside hazard area (PMR2)</w:t>
            </w:r>
          </w:p>
        </w:tc>
        <w:tc>
          <w:tcPr>
            <w:tcW w:w="0" w:type="auto"/>
            <w:vAlign w:val="center"/>
          </w:tcPr>
          <w:p w14:paraId="1293AD7F" w14:textId="77777777" w:rsidR="000D1D20" w:rsidRDefault="000D1D20" w:rsidP="00FF5CBF">
            <w:pPr>
              <w:pStyle w:val="ListBullet0"/>
              <w:numPr>
                <w:ilvl w:val="0"/>
                <w:numId w:val="50"/>
              </w:numPr>
              <w:spacing w:beforeLines="40" w:before="96" w:afterLines="40" w:after="96" w:line="240" w:lineRule="auto"/>
            </w:pPr>
            <w:r>
              <w:t>Preparation of Asset Management Plan</w:t>
            </w:r>
          </w:p>
          <w:p w14:paraId="4673AB04" w14:textId="77777777" w:rsidR="000D1D20" w:rsidRDefault="000D1D20" w:rsidP="00FF5CBF">
            <w:pPr>
              <w:pStyle w:val="ListBullet0"/>
              <w:numPr>
                <w:ilvl w:val="0"/>
                <w:numId w:val="50"/>
              </w:numPr>
              <w:spacing w:beforeLines="40" w:before="96" w:afterLines="40" w:after="96" w:line="240" w:lineRule="auto"/>
            </w:pPr>
            <w:r>
              <w:t>To 2047 for public-built assets</w:t>
            </w:r>
          </w:p>
          <w:p w14:paraId="5E749609" w14:textId="77777777" w:rsidR="000D1D20" w:rsidRDefault="000D1D20" w:rsidP="00FF5CBF">
            <w:pPr>
              <w:pStyle w:val="ListBullet0"/>
              <w:numPr>
                <w:ilvl w:val="0"/>
                <w:numId w:val="50"/>
              </w:numPr>
              <w:spacing w:beforeLines="40" w:before="96" w:afterLines="40" w:after="96" w:line="240" w:lineRule="auto"/>
            </w:pPr>
            <w:r>
              <w:t>Maintenance assumes ongoing allowance for foreshore reserve</w:t>
            </w:r>
          </w:p>
          <w:p w14:paraId="39ACD274" w14:textId="77777777" w:rsidR="000D1D20" w:rsidRDefault="000D1D20" w:rsidP="00FF5CBF">
            <w:pPr>
              <w:pStyle w:val="ListBullet0"/>
              <w:numPr>
                <w:ilvl w:val="0"/>
                <w:numId w:val="50"/>
              </w:numPr>
              <w:spacing w:beforeLines="40" w:before="96" w:afterLines="40" w:after="96" w:line="240" w:lineRule="auto"/>
            </w:pPr>
            <w:r>
              <w:t>Removal / Relocation of assets as required</w:t>
            </w:r>
          </w:p>
        </w:tc>
        <w:tc>
          <w:tcPr>
            <w:tcW w:w="0" w:type="auto"/>
          </w:tcPr>
          <w:p w14:paraId="3612774B" w14:textId="77777777" w:rsidR="000D1D20" w:rsidRDefault="000D1D20" w:rsidP="00FF5CBF">
            <w:pPr>
              <w:pStyle w:val="ListBullet0"/>
              <w:numPr>
                <w:ilvl w:val="0"/>
                <w:numId w:val="50"/>
              </w:numPr>
              <w:spacing w:beforeLines="40" w:before="96" w:afterLines="40" w:after="96" w:line="240" w:lineRule="auto"/>
            </w:pPr>
            <w:r>
              <w:t>LGA</w:t>
            </w:r>
          </w:p>
        </w:tc>
        <w:tc>
          <w:tcPr>
            <w:tcW w:w="0" w:type="auto"/>
          </w:tcPr>
          <w:p w14:paraId="7D775933" w14:textId="77777777" w:rsidR="000D1D20" w:rsidRDefault="000D1D20" w:rsidP="00FF5CBF">
            <w:pPr>
              <w:pStyle w:val="ListBullet0"/>
              <w:numPr>
                <w:ilvl w:val="0"/>
                <w:numId w:val="50"/>
              </w:numPr>
              <w:spacing w:beforeLines="40" w:before="96" w:afterLines="40" w:after="96" w:line="240" w:lineRule="auto"/>
            </w:pPr>
            <w:r>
              <w:t>Audit of assets within 2047 erosion and inundation hazard zone and identification of assets where damage would be unacceptable</w:t>
            </w:r>
          </w:p>
        </w:tc>
        <w:tc>
          <w:tcPr>
            <w:tcW w:w="0" w:type="auto"/>
          </w:tcPr>
          <w:p w14:paraId="66A5FB60" w14:textId="77777777" w:rsidR="000D1D20" w:rsidRPr="00080254" w:rsidRDefault="000D1D20" w:rsidP="00FF5CBF">
            <w:pPr>
              <w:pStyle w:val="ListBullet0"/>
              <w:numPr>
                <w:ilvl w:val="0"/>
                <w:numId w:val="50"/>
              </w:numPr>
              <w:spacing w:beforeLines="40" w:before="96" w:afterLines="40" w:after="96" w:line="240" w:lineRule="auto"/>
              <w:jc w:val="left"/>
            </w:pPr>
            <w:r>
              <w:t>$143,000</w:t>
            </w:r>
          </w:p>
          <w:p w14:paraId="08A989D7" w14:textId="77777777" w:rsidR="000D1D20" w:rsidRDefault="000D1D20" w:rsidP="00FF5CBF">
            <w:pPr>
              <w:pStyle w:val="ListBullet0"/>
              <w:numPr>
                <w:ilvl w:val="0"/>
                <w:numId w:val="50"/>
              </w:numPr>
              <w:spacing w:beforeLines="40" w:before="96" w:afterLines="40" w:after="96" w:line="240" w:lineRule="auto"/>
              <w:jc w:val="left"/>
            </w:pPr>
            <w:r>
              <w:t>(Plus 1% annual maintenance of $1,430)</w:t>
            </w:r>
          </w:p>
        </w:tc>
        <w:tc>
          <w:tcPr>
            <w:tcW w:w="1623" w:type="dxa"/>
          </w:tcPr>
          <w:p w14:paraId="6B19A929" w14:textId="77777777" w:rsidR="000D1D20" w:rsidRDefault="000D1D20" w:rsidP="00FF5CBF">
            <w:pPr>
              <w:pStyle w:val="ListBullet0"/>
              <w:numPr>
                <w:ilvl w:val="0"/>
                <w:numId w:val="50"/>
              </w:numPr>
              <w:spacing w:beforeLines="40" w:before="96" w:afterLines="40" w:after="96" w:line="240" w:lineRule="auto"/>
            </w:pPr>
            <w:r>
              <w:t>Operational</w:t>
            </w:r>
          </w:p>
          <w:p w14:paraId="527B829A" w14:textId="77777777" w:rsidR="000D1D20" w:rsidRDefault="000D1D20" w:rsidP="00FF5CBF">
            <w:pPr>
              <w:pStyle w:val="ListBullet0"/>
              <w:numPr>
                <w:ilvl w:val="0"/>
                <w:numId w:val="50"/>
              </w:numPr>
              <w:spacing w:beforeLines="40" w:before="96" w:afterLines="40" w:after="96" w:line="240" w:lineRule="auto"/>
            </w:pPr>
            <w:r>
              <w:t>Grants</w:t>
            </w:r>
          </w:p>
        </w:tc>
        <w:tc>
          <w:tcPr>
            <w:tcW w:w="728" w:type="dxa"/>
          </w:tcPr>
          <w:p w14:paraId="674E3FC2" w14:textId="77777777" w:rsidR="000D1D20" w:rsidRDefault="000D1D20" w:rsidP="001355DB">
            <w:pPr>
              <w:pStyle w:val="TableText"/>
            </w:pPr>
            <w:r>
              <w:t>x</w:t>
            </w:r>
          </w:p>
        </w:tc>
        <w:tc>
          <w:tcPr>
            <w:tcW w:w="0" w:type="auto"/>
          </w:tcPr>
          <w:p w14:paraId="3FF0F24F" w14:textId="77777777" w:rsidR="000D1D20" w:rsidRDefault="000D1D20" w:rsidP="001355DB">
            <w:pPr>
              <w:pStyle w:val="TableText"/>
            </w:pPr>
            <w:r>
              <w:t>x</w:t>
            </w:r>
          </w:p>
        </w:tc>
        <w:tc>
          <w:tcPr>
            <w:tcW w:w="0" w:type="auto"/>
          </w:tcPr>
          <w:p w14:paraId="198C8BB5" w14:textId="77777777" w:rsidR="000D1D20" w:rsidRDefault="000D1D20" w:rsidP="001355DB">
            <w:pPr>
              <w:pStyle w:val="TableText"/>
            </w:pPr>
            <w:r>
              <w:t>x</w:t>
            </w:r>
          </w:p>
        </w:tc>
        <w:tc>
          <w:tcPr>
            <w:tcW w:w="0" w:type="auto"/>
          </w:tcPr>
          <w:p w14:paraId="3FD84B69" w14:textId="77777777" w:rsidR="000D1D20" w:rsidRDefault="000D1D20" w:rsidP="001355DB">
            <w:pPr>
              <w:pStyle w:val="TableText"/>
            </w:pPr>
          </w:p>
        </w:tc>
      </w:tr>
      <w:tr w:rsidR="000D1D20" w14:paraId="3EAB4D84" w14:textId="77777777" w:rsidTr="001355DB">
        <w:tc>
          <w:tcPr>
            <w:tcW w:w="0" w:type="auto"/>
            <w:vAlign w:val="center"/>
          </w:tcPr>
          <w:p w14:paraId="79600825" w14:textId="77777777" w:rsidR="000D1D20" w:rsidRDefault="000D1D20" w:rsidP="001355DB">
            <w:pPr>
              <w:pStyle w:val="TableText"/>
            </w:pPr>
            <w:r w:rsidRPr="000856DF">
              <w:t>Prevention of further development / prohibit expansion of existing use rights (PMR3)</w:t>
            </w:r>
          </w:p>
        </w:tc>
        <w:tc>
          <w:tcPr>
            <w:tcW w:w="0" w:type="auto"/>
            <w:vAlign w:val="center"/>
          </w:tcPr>
          <w:p w14:paraId="74256C4C" w14:textId="77777777" w:rsidR="000D1D20" w:rsidRDefault="000D1D20" w:rsidP="00FF5CBF">
            <w:pPr>
              <w:pStyle w:val="ListBullet0"/>
              <w:numPr>
                <w:ilvl w:val="0"/>
                <w:numId w:val="50"/>
              </w:numPr>
              <w:spacing w:beforeLines="40" w:before="96" w:afterLines="40" w:after="96" w:line="240" w:lineRule="auto"/>
            </w:pPr>
            <w:r>
              <w:t>Item cost for investigations and management plans</w:t>
            </w:r>
          </w:p>
          <w:p w14:paraId="5AB89F5C" w14:textId="77777777" w:rsidR="000D1D20" w:rsidRDefault="000D1D20" w:rsidP="00FF5CBF">
            <w:pPr>
              <w:pStyle w:val="ListBullet0"/>
              <w:numPr>
                <w:ilvl w:val="0"/>
                <w:numId w:val="50"/>
              </w:numPr>
              <w:spacing w:beforeLines="40" w:before="96" w:afterLines="40" w:after="96" w:line="240" w:lineRule="auto"/>
            </w:pPr>
            <w:r>
              <w:t>Investigate opportunities for leaseback of land and land swaps in the context of planned and managed retreat. Seek legal advice regarding the basis of agreements with landholders and whether opt-ins can be time constrained</w:t>
            </w:r>
          </w:p>
        </w:tc>
        <w:tc>
          <w:tcPr>
            <w:tcW w:w="0" w:type="auto"/>
          </w:tcPr>
          <w:p w14:paraId="77C68115" w14:textId="77777777" w:rsidR="000D1D20" w:rsidRDefault="000D1D20" w:rsidP="00FF5CBF">
            <w:pPr>
              <w:pStyle w:val="ListBullet0"/>
              <w:numPr>
                <w:ilvl w:val="0"/>
                <w:numId w:val="50"/>
              </w:numPr>
              <w:spacing w:beforeLines="40" w:before="96" w:afterLines="40" w:after="96" w:line="240" w:lineRule="auto"/>
            </w:pPr>
            <w:r>
              <w:t>LGA</w:t>
            </w:r>
          </w:p>
        </w:tc>
        <w:tc>
          <w:tcPr>
            <w:tcW w:w="0" w:type="auto"/>
          </w:tcPr>
          <w:p w14:paraId="1552FBB7" w14:textId="77777777" w:rsidR="000D1D20" w:rsidRDefault="000D1D20" w:rsidP="00FF5CBF">
            <w:pPr>
              <w:pStyle w:val="ListBullet0"/>
              <w:numPr>
                <w:ilvl w:val="0"/>
                <w:numId w:val="50"/>
              </w:numPr>
              <w:spacing w:beforeLines="40" w:before="96" w:afterLines="40" w:after="96" w:line="240" w:lineRule="auto"/>
            </w:pPr>
            <w:r>
              <w:t>Completed CHRMAP</w:t>
            </w:r>
          </w:p>
        </w:tc>
        <w:tc>
          <w:tcPr>
            <w:tcW w:w="0" w:type="auto"/>
          </w:tcPr>
          <w:p w14:paraId="2B8F6357" w14:textId="77777777" w:rsidR="000D1D20" w:rsidRDefault="000D1D20" w:rsidP="00FF5CBF">
            <w:pPr>
              <w:pStyle w:val="ListBullet0"/>
              <w:numPr>
                <w:ilvl w:val="0"/>
                <w:numId w:val="50"/>
              </w:numPr>
              <w:spacing w:beforeLines="40" w:before="96" w:afterLines="40" w:after="96" w:line="240" w:lineRule="auto"/>
              <w:jc w:val="left"/>
            </w:pPr>
            <w:r>
              <w:t>$30,000</w:t>
            </w:r>
          </w:p>
          <w:p w14:paraId="36E2BB80" w14:textId="77777777" w:rsidR="000D1D20" w:rsidRDefault="000D1D20" w:rsidP="00FF5CBF">
            <w:pPr>
              <w:pStyle w:val="ListBullet0"/>
              <w:numPr>
                <w:ilvl w:val="0"/>
                <w:numId w:val="50"/>
              </w:numPr>
              <w:spacing w:beforeLines="40" w:before="96" w:afterLines="40" w:after="96" w:line="240" w:lineRule="auto"/>
              <w:jc w:val="left"/>
            </w:pPr>
            <w:r>
              <w:t>(Plus 1% annual maintenance of $300)</w:t>
            </w:r>
          </w:p>
        </w:tc>
        <w:tc>
          <w:tcPr>
            <w:tcW w:w="1623" w:type="dxa"/>
          </w:tcPr>
          <w:p w14:paraId="333FEE80" w14:textId="77777777" w:rsidR="000D1D20" w:rsidRDefault="000D1D20" w:rsidP="00FF5CBF">
            <w:pPr>
              <w:pStyle w:val="ListBullet0"/>
              <w:numPr>
                <w:ilvl w:val="0"/>
                <w:numId w:val="50"/>
              </w:numPr>
              <w:spacing w:beforeLines="40" w:before="96" w:afterLines="40" w:after="96" w:line="240" w:lineRule="auto"/>
            </w:pPr>
            <w:r>
              <w:t>Operational</w:t>
            </w:r>
          </w:p>
          <w:p w14:paraId="36AD658A" w14:textId="77777777" w:rsidR="000D1D20" w:rsidRDefault="000D1D20" w:rsidP="00FF5CBF">
            <w:pPr>
              <w:pStyle w:val="ListBullet0"/>
              <w:numPr>
                <w:ilvl w:val="0"/>
                <w:numId w:val="50"/>
              </w:numPr>
              <w:spacing w:beforeLines="40" w:before="96" w:afterLines="40" w:after="96" w:line="240" w:lineRule="auto"/>
            </w:pPr>
            <w:r>
              <w:t>Grants (e.g. CMPAP)</w:t>
            </w:r>
          </w:p>
        </w:tc>
        <w:tc>
          <w:tcPr>
            <w:tcW w:w="728" w:type="dxa"/>
          </w:tcPr>
          <w:p w14:paraId="351D2C16" w14:textId="77777777" w:rsidR="000D1D20" w:rsidRDefault="000D1D20" w:rsidP="001355DB">
            <w:pPr>
              <w:pStyle w:val="TableText"/>
            </w:pPr>
            <w:r>
              <w:t>x</w:t>
            </w:r>
          </w:p>
        </w:tc>
        <w:tc>
          <w:tcPr>
            <w:tcW w:w="0" w:type="auto"/>
          </w:tcPr>
          <w:p w14:paraId="3B311060" w14:textId="77777777" w:rsidR="000D1D20" w:rsidRDefault="000D1D20" w:rsidP="001355DB">
            <w:pPr>
              <w:pStyle w:val="TableText"/>
            </w:pPr>
            <w:r>
              <w:t>x</w:t>
            </w:r>
          </w:p>
        </w:tc>
        <w:tc>
          <w:tcPr>
            <w:tcW w:w="0" w:type="auto"/>
          </w:tcPr>
          <w:p w14:paraId="644DF82F" w14:textId="77777777" w:rsidR="000D1D20" w:rsidRDefault="000D1D20" w:rsidP="001355DB">
            <w:pPr>
              <w:pStyle w:val="TableText"/>
            </w:pPr>
          </w:p>
        </w:tc>
        <w:tc>
          <w:tcPr>
            <w:tcW w:w="0" w:type="auto"/>
          </w:tcPr>
          <w:p w14:paraId="1E36FD97" w14:textId="77777777" w:rsidR="000D1D20" w:rsidRDefault="000D1D20" w:rsidP="001355DB">
            <w:pPr>
              <w:pStyle w:val="TableText"/>
            </w:pPr>
          </w:p>
        </w:tc>
      </w:tr>
      <w:tr w:rsidR="000D1D20" w14:paraId="560220B3" w14:textId="77777777" w:rsidTr="001355DB">
        <w:tc>
          <w:tcPr>
            <w:tcW w:w="0" w:type="auto"/>
            <w:vAlign w:val="center"/>
          </w:tcPr>
          <w:p w14:paraId="4CC99B9E" w14:textId="77777777" w:rsidR="000D1D20" w:rsidRDefault="000D1D20" w:rsidP="001355DB">
            <w:pPr>
              <w:pStyle w:val="TableText"/>
            </w:pPr>
            <w:r w:rsidRPr="000856DF">
              <w:t>Design assets to withstand impacts (AC1)</w:t>
            </w:r>
          </w:p>
        </w:tc>
        <w:tc>
          <w:tcPr>
            <w:tcW w:w="0" w:type="auto"/>
            <w:vAlign w:val="center"/>
          </w:tcPr>
          <w:p w14:paraId="6D63CDFE" w14:textId="77777777" w:rsidR="000D1D20" w:rsidRDefault="000D1D20" w:rsidP="00FF5CBF">
            <w:pPr>
              <w:pStyle w:val="ListBullet0"/>
              <w:numPr>
                <w:ilvl w:val="0"/>
                <w:numId w:val="50"/>
              </w:numPr>
              <w:spacing w:beforeLines="40" w:before="96" w:afterLines="40" w:after="96" w:line="240" w:lineRule="auto"/>
            </w:pPr>
            <w:r>
              <w:t>Item cost for investigations and management plans – primarily any case-by-case work needed for public assets</w:t>
            </w:r>
          </w:p>
        </w:tc>
        <w:tc>
          <w:tcPr>
            <w:tcW w:w="0" w:type="auto"/>
          </w:tcPr>
          <w:p w14:paraId="28E2820F" w14:textId="77777777" w:rsidR="000D1D20" w:rsidRDefault="000D1D20" w:rsidP="00FF5CBF">
            <w:pPr>
              <w:pStyle w:val="ListBullet0"/>
              <w:numPr>
                <w:ilvl w:val="0"/>
                <w:numId w:val="50"/>
              </w:numPr>
              <w:spacing w:beforeLines="40" w:before="96" w:afterLines="40" w:after="96" w:line="240" w:lineRule="auto"/>
            </w:pPr>
            <w:r>
              <w:t>LGA</w:t>
            </w:r>
          </w:p>
        </w:tc>
        <w:tc>
          <w:tcPr>
            <w:tcW w:w="0" w:type="auto"/>
          </w:tcPr>
          <w:p w14:paraId="14A44BCC" w14:textId="77777777" w:rsidR="000D1D20" w:rsidRDefault="000D1D20" w:rsidP="00FF5CBF">
            <w:pPr>
              <w:pStyle w:val="ListBullet0"/>
              <w:numPr>
                <w:ilvl w:val="0"/>
                <w:numId w:val="50"/>
              </w:numPr>
              <w:spacing w:beforeLines="40" w:before="96" w:afterLines="40" w:after="96" w:line="240" w:lineRule="auto"/>
            </w:pPr>
            <w:r>
              <w:t>Completed CHRMAP</w:t>
            </w:r>
          </w:p>
        </w:tc>
        <w:tc>
          <w:tcPr>
            <w:tcW w:w="0" w:type="auto"/>
          </w:tcPr>
          <w:p w14:paraId="7DFC9C7C" w14:textId="77777777" w:rsidR="000D1D20" w:rsidRDefault="000D1D20" w:rsidP="00FF5CBF">
            <w:pPr>
              <w:pStyle w:val="ListBullet0"/>
              <w:numPr>
                <w:ilvl w:val="0"/>
                <w:numId w:val="50"/>
              </w:numPr>
              <w:spacing w:beforeLines="40" w:before="96" w:afterLines="40" w:after="96" w:line="240" w:lineRule="auto"/>
              <w:jc w:val="left"/>
            </w:pPr>
            <w:r>
              <w:t>$50,000</w:t>
            </w:r>
          </w:p>
          <w:p w14:paraId="5F0C36E8" w14:textId="77777777" w:rsidR="000D1D20" w:rsidRDefault="000D1D20" w:rsidP="00FF5CBF">
            <w:pPr>
              <w:pStyle w:val="ListBullet0"/>
              <w:numPr>
                <w:ilvl w:val="0"/>
                <w:numId w:val="50"/>
              </w:numPr>
              <w:spacing w:beforeLines="40" w:before="96" w:afterLines="40" w:after="96" w:line="240" w:lineRule="auto"/>
              <w:jc w:val="left"/>
            </w:pPr>
            <w:r>
              <w:t>(Plus 1% annual maintenance of $500)</w:t>
            </w:r>
          </w:p>
        </w:tc>
        <w:tc>
          <w:tcPr>
            <w:tcW w:w="1623" w:type="dxa"/>
          </w:tcPr>
          <w:p w14:paraId="72A357D7" w14:textId="77777777" w:rsidR="000D1D20" w:rsidRDefault="000D1D20" w:rsidP="00FF5CBF">
            <w:pPr>
              <w:pStyle w:val="ListBullet0"/>
              <w:numPr>
                <w:ilvl w:val="0"/>
                <w:numId w:val="50"/>
              </w:numPr>
              <w:spacing w:beforeLines="40" w:before="96" w:afterLines="40" w:after="96" w:line="240" w:lineRule="auto"/>
            </w:pPr>
            <w:r>
              <w:t>Operational</w:t>
            </w:r>
          </w:p>
          <w:p w14:paraId="7F6DD314" w14:textId="77777777" w:rsidR="000D1D20" w:rsidRDefault="000D1D20" w:rsidP="00FF5CBF">
            <w:pPr>
              <w:pStyle w:val="ListBullet0"/>
              <w:numPr>
                <w:ilvl w:val="0"/>
                <w:numId w:val="50"/>
              </w:numPr>
              <w:spacing w:beforeLines="40" w:before="96" w:afterLines="40" w:after="96" w:line="240" w:lineRule="auto"/>
            </w:pPr>
            <w:r>
              <w:t>Grants</w:t>
            </w:r>
          </w:p>
        </w:tc>
        <w:tc>
          <w:tcPr>
            <w:tcW w:w="728" w:type="dxa"/>
          </w:tcPr>
          <w:p w14:paraId="3347AFC3" w14:textId="77777777" w:rsidR="000D1D20" w:rsidRDefault="000D1D20" w:rsidP="001355DB">
            <w:pPr>
              <w:pStyle w:val="TableText"/>
            </w:pPr>
            <w:r>
              <w:t>x</w:t>
            </w:r>
          </w:p>
        </w:tc>
        <w:tc>
          <w:tcPr>
            <w:tcW w:w="0" w:type="auto"/>
          </w:tcPr>
          <w:p w14:paraId="602E8B4D" w14:textId="77777777" w:rsidR="000D1D20" w:rsidRDefault="000D1D20" w:rsidP="001355DB">
            <w:pPr>
              <w:pStyle w:val="TableText"/>
            </w:pPr>
            <w:r>
              <w:t>x</w:t>
            </w:r>
          </w:p>
        </w:tc>
        <w:tc>
          <w:tcPr>
            <w:tcW w:w="0" w:type="auto"/>
          </w:tcPr>
          <w:p w14:paraId="74A30367" w14:textId="77777777" w:rsidR="000D1D20" w:rsidRDefault="000D1D20" w:rsidP="001355DB">
            <w:pPr>
              <w:pStyle w:val="TableText"/>
            </w:pPr>
          </w:p>
        </w:tc>
        <w:tc>
          <w:tcPr>
            <w:tcW w:w="0" w:type="auto"/>
          </w:tcPr>
          <w:p w14:paraId="2CC67EFB" w14:textId="77777777" w:rsidR="000D1D20" w:rsidRDefault="000D1D20" w:rsidP="001355DB">
            <w:pPr>
              <w:pStyle w:val="TableText"/>
            </w:pPr>
          </w:p>
        </w:tc>
      </w:tr>
      <w:tr w:rsidR="000D1D20" w14:paraId="457FA92F" w14:textId="77777777" w:rsidTr="001355DB">
        <w:tc>
          <w:tcPr>
            <w:tcW w:w="0" w:type="auto"/>
          </w:tcPr>
          <w:p w14:paraId="2AAD51BD" w14:textId="77777777" w:rsidR="000D1D20" w:rsidRPr="002C35A2" w:rsidRDefault="000D1D20" w:rsidP="001355DB">
            <w:pPr>
              <w:pStyle w:val="TableText"/>
              <w:rPr>
                <w:b/>
                <w:bCs/>
              </w:rPr>
            </w:pPr>
            <w:r w:rsidRPr="005B1A1A">
              <w:rPr>
                <w:b/>
                <w:bCs/>
              </w:rPr>
              <w:lastRenderedPageBreak/>
              <w:t>Recommended Short-Term Option to address Erosion is to investigate and prepare for Planned / Managed Retreat by Voluntary Acquisition (PMR4)</w:t>
            </w:r>
          </w:p>
        </w:tc>
        <w:tc>
          <w:tcPr>
            <w:tcW w:w="0" w:type="auto"/>
          </w:tcPr>
          <w:p w14:paraId="562589EA" w14:textId="77777777" w:rsidR="000D1D20" w:rsidRDefault="000D1D20" w:rsidP="00FF5CBF">
            <w:pPr>
              <w:pStyle w:val="ListBullet0"/>
              <w:numPr>
                <w:ilvl w:val="0"/>
                <w:numId w:val="49"/>
              </w:numPr>
              <w:spacing w:beforeLines="40" w:before="96" w:afterLines="40" w:after="96" w:line="240" w:lineRule="auto"/>
            </w:pPr>
            <w:r>
              <w:t>Acquisition assumed in the same year as hazard line identifies parcels as vulnerable</w:t>
            </w:r>
          </w:p>
          <w:p w14:paraId="7928B012" w14:textId="77777777" w:rsidR="000D1D20" w:rsidRDefault="000D1D20" w:rsidP="00FF5CBF">
            <w:pPr>
              <w:pStyle w:val="ListBullet0"/>
              <w:numPr>
                <w:ilvl w:val="0"/>
                <w:numId w:val="49"/>
              </w:numPr>
              <w:spacing w:beforeLines="40" w:before="96" w:afterLines="40" w:after="96" w:line="240" w:lineRule="auto"/>
            </w:pPr>
            <w:r>
              <w:t>Coastal hazards impact few properties in the short term, so the focus is to manage foreshore reserves and coastal amenities, undertake coastal monitoring, and prepare for implementation in medium to long-term</w:t>
            </w:r>
          </w:p>
        </w:tc>
        <w:tc>
          <w:tcPr>
            <w:tcW w:w="0" w:type="auto"/>
          </w:tcPr>
          <w:p w14:paraId="28F7891E" w14:textId="77777777" w:rsidR="000D1D20" w:rsidRDefault="000D1D20" w:rsidP="00FF5CBF">
            <w:pPr>
              <w:pStyle w:val="ListBullet0"/>
              <w:numPr>
                <w:ilvl w:val="0"/>
                <w:numId w:val="49"/>
              </w:numPr>
              <w:spacing w:beforeLines="40" w:before="96" w:afterLines="40" w:after="96" w:line="240" w:lineRule="auto"/>
            </w:pPr>
            <w:r>
              <w:t>LGA</w:t>
            </w:r>
          </w:p>
        </w:tc>
        <w:tc>
          <w:tcPr>
            <w:tcW w:w="0" w:type="auto"/>
          </w:tcPr>
          <w:p w14:paraId="3B541100" w14:textId="77777777" w:rsidR="000D1D20" w:rsidRDefault="000D1D20" w:rsidP="00FF5CBF">
            <w:pPr>
              <w:pStyle w:val="ListBullet0"/>
              <w:numPr>
                <w:ilvl w:val="0"/>
                <w:numId w:val="49"/>
              </w:numPr>
              <w:spacing w:beforeLines="40" w:before="96" w:afterLines="40" w:after="96" w:line="240" w:lineRule="auto"/>
            </w:pPr>
            <w:r>
              <w:t>Completed CHRMAP</w:t>
            </w:r>
          </w:p>
        </w:tc>
        <w:tc>
          <w:tcPr>
            <w:tcW w:w="0" w:type="auto"/>
          </w:tcPr>
          <w:p w14:paraId="231D0352" w14:textId="77777777" w:rsidR="000D1D20" w:rsidRDefault="000D1D20" w:rsidP="00FF5CBF">
            <w:pPr>
              <w:pStyle w:val="ListBullet0"/>
              <w:numPr>
                <w:ilvl w:val="0"/>
                <w:numId w:val="49"/>
              </w:numPr>
              <w:spacing w:beforeLines="40" w:before="96" w:afterLines="40" w:after="96" w:line="240" w:lineRule="auto"/>
              <w:jc w:val="left"/>
            </w:pPr>
            <w:r>
              <w:t>$38.4M at NPV 4% for whole 100-year timeframe</w:t>
            </w:r>
          </w:p>
        </w:tc>
        <w:tc>
          <w:tcPr>
            <w:tcW w:w="1623" w:type="dxa"/>
          </w:tcPr>
          <w:p w14:paraId="2B151DDB" w14:textId="77777777" w:rsidR="000D1D20" w:rsidRDefault="000D1D20" w:rsidP="00FF5CBF">
            <w:pPr>
              <w:pStyle w:val="ListBullet0"/>
              <w:numPr>
                <w:ilvl w:val="0"/>
                <w:numId w:val="49"/>
              </w:numPr>
              <w:spacing w:beforeLines="40" w:before="96" w:afterLines="40" w:after="96" w:line="240" w:lineRule="auto"/>
            </w:pPr>
            <w:r>
              <w:t>Operational</w:t>
            </w:r>
          </w:p>
          <w:p w14:paraId="642735D2" w14:textId="77777777" w:rsidR="000D1D20" w:rsidRDefault="000D1D20" w:rsidP="00FF5CBF">
            <w:pPr>
              <w:pStyle w:val="ListBullet0"/>
              <w:numPr>
                <w:ilvl w:val="0"/>
                <w:numId w:val="49"/>
              </w:numPr>
              <w:spacing w:beforeLines="40" w:before="96" w:afterLines="40" w:after="96" w:line="240" w:lineRule="auto"/>
            </w:pPr>
            <w:r>
              <w:t>Grants (e.g. DRF)</w:t>
            </w:r>
          </w:p>
          <w:p w14:paraId="4F489C45" w14:textId="77777777" w:rsidR="000D1D20" w:rsidRDefault="000D1D20" w:rsidP="00FF5CBF">
            <w:pPr>
              <w:pStyle w:val="ListBullet0"/>
              <w:numPr>
                <w:ilvl w:val="0"/>
                <w:numId w:val="49"/>
              </w:numPr>
              <w:spacing w:beforeLines="40" w:before="96" w:afterLines="40" w:after="96" w:line="240" w:lineRule="auto"/>
            </w:pPr>
            <w:r>
              <w:t>Specified Area Rate</w:t>
            </w:r>
          </w:p>
          <w:p w14:paraId="2F9FDAE2" w14:textId="77777777" w:rsidR="000D1D20" w:rsidRDefault="000D1D20" w:rsidP="00FF5CBF">
            <w:pPr>
              <w:pStyle w:val="ListBullet0"/>
              <w:numPr>
                <w:ilvl w:val="0"/>
                <w:numId w:val="49"/>
              </w:numPr>
              <w:spacing w:beforeLines="40" w:before="96" w:afterLines="40" w:after="96" w:line="240" w:lineRule="auto"/>
            </w:pPr>
            <w:r>
              <w:t>Levies</w:t>
            </w:r>
          </w:p>
        </w:tc>
        <w:tc>
          <w:tcPr>
            <w:tcW w:w="728" w:type="dxa"/>
          </w:tcPr>
          <w:p w14:paraId="229CE572" w14:textId="77777777" w:rsidR="000D1D20" w:rsidRDefault="000D1D20" w:rsidP="001355DB">
            <w:pPr>
              <w:pStyle w:val="TableText"/>
            </w:pPr>
            <w:r>
              <w:t>x</w:t>
            </w:r>
          </w:p>
        </w:tc>
        <w:tc>
          <w:tcPr>
            <w:tcW w:w="0" w:type="auto"/>
          </w:tcPr>
          <w:p w14:paraId="781B1BFB" w14:textId="77777777" w:rsidR="000D1D20" w:rsidRDefault="000D1D20" w:rsidP="001355DB">
            <w:pPr>
              <w:pStyle w:val="TableText"/>
            </w:pPr>
            <w:r>
              <w:t>x</w:t>
            </w:r>
          </w:p>
        </w:tc>
        <w:tc>
          <w:tcPr>
            <w:tcW w:w="0" w:type="auto"/>
          </w:tcPr>
          <w:p w14:paraId="430D56A8" w14:textId="77777777" w:rsidR="000D1D20" w:rsidRDefault="000D1D20" w:rsidP="001355DB">
            <w:pPr>
              <w:pStyle w:val="TableText"/>
            </w:pPr>
            <w:r>
              <w:t>x</w:t>
            </w:r>
          </w:p>
        </w:tc>
        <w:tc>
          <w:tcPr>
            <w:tcW w:w="0" w:type="auto"/>
          </w:tcPr>
          <w:p w14:paraId="71C24937" w14:textId="77777777" w:rsidR="000D1D20" w:rsidRDefault="000D1D20" w:rsidP="001355DB">
            <w:pPr>
              <w:pStyle w:val="TableText"/>
            </w:pPr>
          </w:p>
        </w:tc>
      </w:tr>
      <w:tr w:rsidR="000D1D20" w14:paraId="3C193B73" w14:textId="77777777" w:rsidTr="001355DB">
        <w:tc>
          <w:tcPr>
            <w:tcW w:w="0" w:type="auto"/>
          </w:tcPr>
          <w:p w14:paraId="4D8A409F" w14:textId="77777777" w:rsidR="000D1D20" w:rsidRPr="002C35A2" w:rsidRDefault="000D1D20" w:rsidP="001355DB">
            <w:pPr>
              <w:pStyle w:val="TableText"/>
              <w:rPr>
                <w:b/>
                <w:bCs/>
              </w:rPr>
            </w:pPr>
            <w:r w:rsidRPr="00A74967">
              <w:rPr>
                <w:b/>
                <w:bCs/>
              </w:rPr>
              <w:t>Recommended Short-Term Option to address Inundation is a Levee (PR6)</w:t>
            </w:r>
          </w:p>
        </w:tc>
        <w:tc>
          <w:tcPr>
            <w:tcW w:w="0" w:type="auto"/>
          </w:tcPr>
          <w:p w14:paraId="4BDDF7B7" w14:textId="77777777" w:rsidR="000D1D20" w:rsidRDefault="000D1D20" w:rsidP="00FF5CBF">
            <w:pPr>
              <w:pStyle w:val="ListBullet0"/>
              <w:numPr>
                <w:ilvl w:val="0"/>
                <w:numId w:val="49"/>
              </w:numPr>
              <w:spacing w:beforeLines="40" w:before="96" w:afterLines="40" w:after="96" w:line="240" w:lineRule="auto"/>
            </w:pPr>
            <w:r>
              <w:t>Assumes one 1250m section of levee required along coast near Lake Vancouver</w:t>
            </w:r>
          </w:p>
          <w:p w14:paraId="1D750D29" w14:textId="77777777" w:rsidR="000D1D20" w:rsidRDefault="000D1D20" w:rsidP="00FF5CBF">
            <w:pPr>
              <w:pStyle w:val="ListBullet0"/>
              <w:numPr>
                <w:ilvl w:val="0"/>
                <w:numId w:val="49"/>
              </w:numPr>
              <w:spacing w:beforeLines="40" w:before="96" w:afterLines="40" w:after="96" w:line="240" w:lineRule="auto"/>
            </w:pPr>
            <w:r>
              <w:t>Assumes 2047 implementation</w:t>
            </w:r>
          </w:p>
        </w:tc>
        <w:tc>
          <w:tcPr>
            <w:tcW w:w="0" w:type="auto"/>
          </w:tcPr>
          <w:p w14:paraId="2E86A407" w14:textId="77777777" w:rsidR="000D1D20" w:rsidRDefault="000D1D20" w:rsidP="00FF5CBF">
            <w:pPr>
              <w:pStyle w:val="ListBullet0"/>
              <w:numPr>
                <w:ilvl w:val="0"/>
                <w:numId w:val="49"/>
              </w:numPr>
              <w:spacing w:beforeLines="40" w:before="96" w:afterLines="40" w:after="96" w:line="240" w:lineRule="auto"/>
            </w:pPr>
            <w:r>
              <w:t>LGA</w:t>
            </w:r>
          </w:p>
        </w:tc>
        <w:tc>
          <w:tcPr>
            <w:tcW w:w="0" w:type="auto"/>
          </w:tcPr>
          <w:p w14:paraId="7E4F7AFA" w14:textId="77777777" w:rsidR="000D1D20" w:rsidRPr="00080254" w:rsidRDefault="000D1D20" w:rsidP="00FF5CBF">
            <w:pPr>
              <w:pStyle w:val="ListBullet0"/>
              <w:numPr>
                <w:ilvl w:val="0"/>
                <w:numId w:val="49"/>
              </w:numPr>
              <w:spacing w:beforeLines="40" w:before="96" w:afterLines="40" w:after="96" w:line="240" w:lineRule="auto"/>
            </w:pPr>
            <w:r>
              <w:t>Completed CHRMAP</w:t>
            </w:r>
          </w:p>
          <w:p w14:paraId="4A2DD23D" w14:textId="77777777" w:rsidR="000D1D20" w:rsidRPr="00080254" w:rsidRDefault="000D1D20" w:rsidP="00FF5CBF">
            <w:pPr>
              <w:pStyle w:val="ListBullet0"/>
              <w:numPr>
                <w:ilvl w:val="0"/>
                <w:numId w:val="49"/>
              </w:numPr>
              <w:spacing w:beforeLines="40" w:before="96" w:afterLines="40" w:after="96" w:line="240" w:lineRule="auto"/>
            </w:pPr>
            <w:r>
              <w:t>Monitoring</w:t>
            </w:r>
          </w:p>
          <w:p w14:paraId="5AE74D18" w14:textId="77777777" w:rsidR="000D1D20" w:rsidRPr="00080254" w:rsidRDefault="000D1D20" w:rsidP="00FF5CBF">
            <w:pPr>
              <w:pStyle w:val="ListBullet0"/>
              <w:numPr>
                <w:ilvl w:val="0"/>
                <w:numId w:val="49"/>
              </w:numPr>
              <w:spacing w:beforeLines="40" w:before="96" w:afterLines="40" w:after="96" w:line="240" w:lineRule="auto"/>
            </w:pPr>
            <w:r>
              <w:t>Confirmation of design, costs and funding</w:t>
            </w:r>
          </w:p>
          <w:p w14:paraId="768570E0" w14:textId="77777777" w:rsidR="000D1D20" w:rsidRPr="00080254" w:rsidRDefault="000D1D20" w:rsidP="00FF5CBF">
            <w:pPr>
              <w:pStyle w:val="ListBullet0"/>
              <w:numPr>
                <w:ilvl w:val="0"/>
                <w:numId w:val="49"/>
              </w:numPr>
              <w:spacing w:beforeLines="40" w:before="96" w:afterLines="40" w:after="96" w:line="240" w:lineRule="auto"/>
            </w:pPr>
            <w:r>
              <w:t>Confirmation of SLR in accordance with projections to 2047</w:t>
            </w:r>
          </w:p>
        </w:tc>
        <w:tc>
          <w:tcPr>
            <w:tcW w:w="0" w:type="auto"/>
          </w:tcPr>
          <w:p w14:paraId="78483570" w14:textId="77777777" w:rsidR="000D1D20" w:rsidRPr="00080254" w:rsidRDefault="000D1D20" w:rsidP="00FF5CBF">
            <w:pPr>
              <w:pStyle w:val="ListBullet0"/>
              <w:numPr>
                <w:ilvl w:val="0"/>
                <w:numId w:val="49"/>
              </w:numPr>
              <w:spacing w:beforeLines="40" w:before="96" w:afterLines="40" w:after="96" w:line="240" w:lineRule="auto"/>
              <w:jc w:val="left"/>
            </w:pPr>
            <w:r>
              <w:t>$2.5M at NPV 4%</w:t>
            </w:r>
          </w:p>
          <w:p w14:paraId="0536F178" w14:textId="77777777" w:rsidR="000D1D20" w:rsidRPr="00080254" w:rsidRDefault="000D1D20" w:rsidP="00FF5CBF">
            <w:pPr>
              <w:pStyle w:val="ListBullet0"/>
              <w:numPr>
                <w:ilvl w:val="0"/>
                <w:numId w:val="49"/>
              </w:numPr>
              <w:spacing w:beforeLines="40" w:before="96" w:afterLines="40" w:after="96" w:line="240" w:lineRule="auto"/>
              <w:jc w:val="left"/>
            </w:pPr>
            <w:r>
              <w:t>Detailed design and costings estimated at $150,000</w:t>
            </w:r>
          </w:p>
        </w:tc>
        <w:tc>
          <w:tcPr>
            <w:tcW w:w="1623" w:type="dxa"/>
          </w:tcPr>
          <w:p w14:paraId="27DA2BBD" w14:textId="77777777" w:rsidR="000D1D20" w:rsidRDefault="000D1D20" w:rsidP="00FF5CBF">
            <w:pPr>
              <w:pStyle w:val="ListBullet0"/>
              <w:numPr>
                <w:ilvl w:val="0"/>
                <w:numId w:val="49"/>
              </w:numPr>
              <w:spacing w:beforeLines="40" w:before="96" w:afterLines="40" w:after="96" w:line="240" w:lineRule="auto"/>
            </w:pPr>
            <w:r>
              <w:t>Operational</w:t>
            </w:r>
          </w:p>
          <w:p w14:paraId="77CCAC67" w14:textId="77777777" w:rsidR="000D1D20" w:rsidRDefault="000D1D20" w:rsidP="00FF5CBF">
            <w:pPr>
              <w:pStyle w:val="ListBullet0"/>
              <w:numPr>
                <w:ilvl w:val="0"/>
                <w:numId w:val="49"/>
              </w:numPr>
              <w:spacing w:beforeLines="40" w:before="96" w:afterLines="40" w:after="96" w:line="240" w:lineRule="auto"/>
            </w:pPr>
            <w:r>
              <w:t>Grants (e.g. DRF)</w:t>
            </w:r>
          </w:p>
          <w:p w14:paraId="01FED4D9" w14:textId="77777777" w:rsidR="000D1D20" w:rsidRDefault="000D1D20" w:rsidP="00FF5CBF">
            <w:pPr>
              <w:pStyle w:val="ListBullet0"/>
              <w:numPr>
                <w:ilvl w:val="0"/>
                <w:numId w:val="49"/>
              </w:numPr>
              <w:spacing w:beforeLines="40" w:before="96" w:afterLines="40" w:after="96" w:line="240" w:lineRule="auto"/>
            </w:pPr>
            <w:r>
              <w:t>Direct beneficiaries</w:t>
            </w:r>
          </w:p>
        </w:tc>
        <w:tc>
          <w:tcPr>
            <w:tcW w:w="728" w:type="dxa"/>
          </w:tcPr>
          <w:p w14:paraId="28382BD3" w14:textId="77777777" w:rsidR="000D1D20" w:rsidRDefault="000D1D20" w:rsidP="001355DB">
            <w:pPr>
              <w:pStyle w:val="TableText"/>
            </w:pPr>
            <w:r>
              <w:t>x</w:t>
            </w:r>
          </w:p>
        </w:tc>
        <w:tc>
          <w:tcPr>
            <w:tcW w:w="0" w:type="auto"/>
          </w:tcPr>
          <w:p w14:paraId="0DF610D4" w14:textId="77777777" w:rsidR="000D1D20" w:rsidRDefault="000D1D20" w:rsidP="001355DB">
            <w:pPr>
              <w:pStyle w:val="TableText"/>
            </w:pPr>
            <w:r>
              <w:t>x</w:t>
            </w:r>
          </w:p>
        </w:tc>
        <w:tc>
          <w:tcPr>
            <w:tcW w:w="0" w:type="auto"/>
          </w:tcPr>
          <w:p w14:paraId="33F050F6" w14:textId="77777777" w:rsidR="000D1D20" w:rsidRDefault="000D1D20" w:rsidP="001355DB">
            <w:pPr>
              <w:pStyle w:val="TableText"/>
            </w:pPr>
            <w:r>
              <w:t>x</w:t>
            </w:r>
          </w:p>
        </w:tc>
        <w:tc>
          <w:tcPr>
            <w:tcW w:w="0" w:type="auto"/>
          </w:tcPr>
          <w:p w14:paraId="255EACD5" w14:textId="77777777" w:rsidR="000D1D20" w:rsidRDefault="000D1D20" w:rsidP="001355DB">
            <w:pPr>
              <w:pStyle w:val="TableText"/>
            </w:pPr>
          </w:p>
        </w:tc>
      </w:tr>
      <w:tr w:rsidR="000D1D20" w14:paraId="1D47999A" w14:textId="77777777" w:rsidTr="001355DB">
        <w:tc>
          <w:tcPr>
            <w:tcW w:w="0" w:type="auto"/>
            <w:vAlign w:val="center"/>
          </w:tcPr>
          <w:p w14:paraId="2F0A7CFA" w14:textId="77777777" w:rsidR="000D1D20" w:rsidRDefault="000D1D20" w:rsidP="001355DB">
            <w:pPr>
              <w:pStyle w:val="TableText"/>
            </w:pPr>
            <w:r w:rsidRPr="000856DF">
              <w:t>Leaving assets unprotected (PMR1)</w:t>
            </w:r>
          </w:p>
        </w:tc>
        <w:tc>
          <w:tcPr>
            <w:tcW w:w="0" w:type="auto"/>
            <w:vAlign w:val="center"/>
          </w:tcPr>
          <w:p w14:paraId="40694043" w14:textId="77777777" w:rsidR="000D1D20" w:rsidRDefault="000D1D20" w:rsidP="00FF5CBF">
            <w:pPr>
              <w:pStyle w:val="ListBullet0"/>
              <w:numPr>
                <w:ilvl w:val="0"/>
                <w:numId w:val="49"/>
              </w:numPr>
              <w:spacing w:beforeLines="40" w:before="96" w:afterLines="40" w:after="96" w:line="240" w:lineRule="auto"/>
            </w:pPr>
            <w:r>
              <w:t>To 2047 for low-value public assets</w:t>
            </w:r>
          </w:p>
          <w:p w14:paraId="20D32215" w14:textId="77777777" w:rsidR="000D1D20" w:rsidRDefault="000D1D20" w:rsidP="00FF5CBF">
            <w:pPr>
              <w:pStyle w:val="ListBullet0"/>
              <w:numPr>
                <w:ilvl w:val="0"/>
                <w:numId w:val="49"/>
              </w:numPr>
              <w:spacing w:beforeLines="40" w:before="96" w:afterLines="40" w:after="96" w:line="240" w:lineRule="auto"/>
            </w:pPr>
            <w:r>
              <w:t>Assumes a clean-up rate following damage/loss</w:t>
            </w:r>
          </w:p>
          <w:p w14:paraId="5ECF4E01" w14:textId="77777777" w:rsidR="000D1D20" w:rsidRDefault="000D1D20" w:rsidP="00FF5CBF">
            <w:pPr>
              <w:pStyle w:val="ListBullet0"/>
              <w:numPr>
                <w:ilvl w:val="0"/>
                <w:numId w:val="49"/>
              </w:numPr>
              <w:spacing w:beforeLines="40" w:before="96" w:afterLines="40" w:after="96" w:line="240" w:lineRule="auto"/>
            </w:pPr>
            <w:r>
              <w:t>No private land acquisition included</w:t>
            </w:r>
          </w:p>
          <w:p w14:paraId="51F0560D" w14:textId="77777777" w:rsidR="000D1D20" w:rsidRDefault="000D1D20" w:rsidP="00FF5CBF">
            <w:pPr>
              <w:pStyle w:val="ListBullet0"/>
              <w:numPr>
                <w:ilvl w:val="0"/>
                <w:numId w:val="49"/>
              </w:numPr>
              <w:spacing w:beforeLines="40" w:before="96" w:afterLines="40" w:after="96" w:line="240" w:lineRule="auto"/>
            </w:pPr>
            <w:r>
              <w:t>Maintenance assumes ongoing allowance for foreshore reserve</w:t>
            </w:r>
          </w:p>
        </w:tc>
        <w:tc>
          <w:tcPr>
            <w:tcW w:w="0" w:type="auto"/>
          </w:tcPr>
          <w:p w14:paraId="0C221AD3" w14:textId="77777777" w:rsidR="000D1D20" w:rsidRDefault="000D1D20" w:rsidP="00FF5CBF">
            <w:pPr>
              <w:pStyle w:val="ListBullet0"/>
              <w:numPr>
                <w:ilvl w:val="0"/>
                <w:numId w:val="49"/>
              </w:numPr>
              <w:spacing w:beforeLines="40" w:before="96" w:afterLines="40" w:after="96" w:line="240" w:lineRule="auto"/>
            </w:pPr>
            <w:r>
              <w:t>LGA</w:t>
            </w:r>
          </w:p>
        </w:tc>
        <w:tc>
          <w:tcPr>
            <w:tcW w:w="0" w:type="auto"/>
          </w:tcPr>
          <w:p w14:paraId="136BCBEC" w14:textId="77777777" w:rsidR="000D1D20" w:rsidRPr="00080254" w:rsidRDefault="000D1D20" w:rsidP="00FF5CBF">
            <w:pPr>
              <w:pStyle w:val="ListBullet0"/>
              <w:numPr>
                <w:ilvl w:val="0"/>
                <w:numId w:val="49"/>
              </w:numPr>
              <w:spacing w:beforeLines="40" w:before="96" w:afterLines="40" w:after="96" w:line="240" w:lineRule="auto"/>
            </w:pPr>
            <w:r>
              <w:t>Storm damage</w:t>
            </w:r>
          </w:p>
          <w:p w14:paraId="297AEA36" w14:textId="77777777" w:rsidR="000D1D20" w:rsidRPr="00080254" w:rsidRDefault="000D1D20" w:rsidP="00FF5CBF">
            <w:pPr>
              <w:pStyle w:val="ListBullet0"/>
              <w:numPr>
                <w:ilvl w:val="0"/>
                <w:numId w:val="49"/>
              </w:numPr>
              <w:spacing w:beforeLines="40" w:before="96" w:afterLines="40" w:after="96" w:line="240" w:lineRule="auto"/>
            </w:pPr>
            <w:r>
              <w:t>Audit of assets within 2047 erosion and inundation hazard zone and identification of assets where damage would be unacceptable</w:t>
            </w:r>
          </w:p>
        </w:tc>
        <w:tc>
          <w:tcPr>
            <w:tcW w:w="0" w:type="auto"/>
          </w:tcPr>
          <w:p w14:paraId="6B77EC69" w14:textId="77777777" w:rsidR="000D1D20" w:rsidRPr="00080254" w:rsidRDefault="000D1D20" w:rsidP="00FF5CBF">
            <w:pPr>
              <w:pStyle w:val="ListBullet0"/>
              <w:numPr>
                <w:ilvl w:val="0"/>
                <w:numId w:val="49"/>
              </w:numPr>
              <w:spacing w:beforeLines="40" w:before="96" w:afterLines="40" w:after="96" w:line="240" w:lineRule="auto"/>
              <w:jc w:val="left"/>
            </w:pPr>
            <w:r>
              <w:t>$65,000</w:t>
            </w:r>
          </w:p>
          <w:p w14:paraId="72B56D54" w14:textId="77777777" w:rsidR="000D1D20" w:rsidRPr="00080254" w:rsidRDefault="000D1D20" w:rsidP="00FF5CBF">
            <w:pPr>
              <w:pStyle w:val="ListBullet0"/>
              <w:numPr>
                <w:ilvl w:val="0"/>
                <w:numId w:val="49"/>
              </w:numPr>
              <w:spacing w:beforeLines="40" w:before="96" w:afterLines="40" w:after="96" w:line="240" w:lineRule="auto"/>
              <w:jc w:val="left"/>
            </w:pPr>
            <w:r>
              <w:t>(Plus 3% annual maintenance of $1,950)</w:t>
            </w:r>
          </w:p>
        </w:tc>
        <w:tc>
          <w:tcPr>
            <w:tcW w:w="1623" w:type="dxa"/>
          </w:tcPr>
          <w:p w14:paraId="35303304" w14:textId="77777777" w:rsidR="000D1D20" w:rsidRDefault="000D1D20" w:rsidP="00FF5CBF">
            <w:pPr>
              <w:pStyle w:val="ListBullet0"/>
              <w:numPr>
                <w:ilvl w:val="0"/>
                <w:numId w:val="49"/>
              </w:numPr>
              <w:spacing w:beforeLines="40" w:before="96" w:afterLines="40" w:after="96" w:line="240" w:lineRule="auto"/>
            </w:pPr>
            <w:r>
              <w:t>Operational</w:t>
            </w:r>
          </w:p>
        </w:tc>
        <w:tc>
          <w:tcPr>
            <w:tcW w:w="728" w:type="dxa"/>
          </w:tcPr>
          <w:p w14:paraId="1521F1E7" w14:textId="77777777" w:rsidR="000D1D20" w:rsidRDefault="000D1D20" w:rsidP="001355DB">
            <w:pPr>
              <w:pStyle w:val="TableText"/>
            </w:pPr>
            <w:r>
              <w:t>x</w:t>
            </w:r>
          </w:p>
        </w:tc>
        <w:tc>
          <w:tcPr>
            <w:tcW w:w="0" w:type="auto"/>
          </w:tcPr>
          <w:p w14:paraId="5249EF67" w14:textId="77777777" w:rsidR="000D1D20" w:rsidRDefault="000D1D20" w:rsidP="001355DB">
            <w:pPr>
              <w:pStyle w:val="TableText"/>
            </w:pPr>
            <w:r>
              <w:t>x</w:t>
            </w:r>
          </w:p>
        </w:tc>
        <w:tc>
          <w:tcPr>
            <w:tcW w:w="0" w:type="auto"/>
          </w:tcPr>
          <w:p w14:paraId="79721D01" w14:textId="77777777" w:rsidR="000D1D20" w:rsidRDefault="000D1D20" w:rsidP="001355DB">
            <w:pPr>
              <w:pStyle w:val="TableText"/>
            </w:pPr>
            <w:r>
              <w:t>x</w:t>
            </w:r>
          </w:p>
        </w:tc>
        <w:tc>
          <w:tcPr>
            <w:tcW w:w="0" w:type="auto"/>
          </w:tcPr>
          <w:p w14:paraId="29CFA05B" w14:textId="77777777" w:rsidR="000D1D20" w:rsidRDefault="000D1D20" w:rsidP="001355DB">
            <w:pPr>
              <w:pStyle w:val="TableText"/>
            </w:pPr>
          </w:p>
        </w:tc>
      </w:tr>
      <w:tr w:rsidR="000D1D20" w14:paraId="742342BA" w14:textId="77777777" w:rsidTr="001355DB">
        <w:tc>
          <w:tcPr>
            <w:tcW w:w="0" w:type="auto"/>
          </w:tcPr>
          <w:p w14:paraId="5EDC7AEA" w14:textId="77777777" w:rsidR="000D1D20" w:rsidRDefault="000D1D20" w:rsidP="001355DB">
            <w:pPr>
              <w:pStyle w:val="TableText"/>
            </w:pPr>
            <w:r w:rsidRPr="005B1A1A">
              <w:rPr>
                <w:b/>
                <w:bCs/>
              </w:rPr>
              <w:t>Recommended Medium and Long-term pathway to address Erosion is Planned / Managed Retreat by Voluntary Acquisition (PMR4)</w:t>
            </w:r>
          </w:p>
        </w:tc>
        <w:tc>
          <w:tcPr>
            <w:tcW w:w="0" w:type="auto"/>
          </w:tcPr>
          <w:p w14:paraId="4B645845" w14:textId="77777777" w:rsidR="000D1D20" w:rsidRDefault="000D1D20" w:rsidP="00FF5CBF">
            <w:pPr>
              <w:pStyle w:val="ListBullet0"/>
              <w:numPr>
                <w:ilvl w:val="0"/>
                <w:numId w:val="49"/>
              </w:numPr>
              <w:spacing w:beforeLines="40" w:before="96" w:afterLines="40" w:after="96" w:line="240" w:lineRule="auto"/>
            </w:pPr>
            <w:r>
              <w:t>Implement when triggers are met</w:t>
            </w:r>
          </w:p>
          <w:p w14:paraId="639B332B" w14:textId="77777777" w:rsidR="000D1D20" w:rsidRDefault="000D1D20" w:rsidP="00FF5CBF">
            <w:pPr>
              <w:pStyle w:val="ListBullet0"/>
              <w:numPr>
                <w:ilvl w:val="0"/>
                <w:numId w:val="49"/>
              </w:numPr>
              <w:spacing w:beforeLines="40" w:before="96" w:afterLines="40" w:after="96" w:line="240" w:lineRule="auto"/>
            </w:pPr>
            <w:r>
              <w:t>See explanation in Land Use Planning Section of this report</w:t>
            </w:r>
          </w:p>
        </w:tc>
        <w:tc>
          <w:tcPr>
            <w:tcW w:w="0" w:type="auto"/>
          </w:tcPr>
          <w:p w14:paraId="5406EC3C" w14:textId="77777777" w:rsidR="000D1D20" w:rsidRDefault="000D1D20" w:rsidP="00FF5CBF">
            <w:pPr>
              <w:pStyle w:val="ListBullet0"/>
              <w:numPr>
                <w:ilvl w:val="0"/>
                <w:numId w:val="49"/>
              </w:numPr>
              <w:spacing w:beforeLines="40" w:before="96" w:afterLines="40" w:after="96" w:line="240" w:lineRule="auto"/>
            </w:pPr>
            <w:r>
              <w:t>LGA</w:t>
            </w:r>
          </w:p>
        </w:tc>
        <w:tc>
          <w:tcPr>
            <w:tcW w:w="0" w:type="auto"/>
          </w:tcPr>
          <w:p w14:paraId="28A19E0D" w14:textId="77777777" w:rsidR="000D1D20" w:rsidRDefault="000D1D20" w:rsidP="00FF5CBF">
            <w:pPr>
              <w:pStyle w:val="ListBullet0"/>
              <w:numPr>
                <w:ilvl w:val="0"/>
                <w:numId w:val="49"/>
              </w:numPr>
              <w:spacing w:beforeLines="40" w:before="96" w:afterLines="40" w:after="96" w:line="240" w:lineRule="auto"/>
            </w:pPr>
            <w:r>
              <w:t>HSD within specified distance of property boundary</w:t>
            </w:r>
          </w:p>
        </w:tc>
        <w:tc>
          <w:tcPr>
            <w:tcW w:w="0" w:type="auto"/>
          </w:tcPr>
          <w:p w14:paraId="5B3933E9" w14:textId="77777777" w:rsidR="000D1D20" w:rsidRDefault="000D1D20" w:rsidP="00FF5CBF">
            <w:pPr>
              <w:pStyle w:val="ListBullet0"/>
              <w:numPr>
                <w:ilvl w:val="0"/>
                <w:numId w:val="49"/>
              </w:numPr>
              <w:spacing w:beforeLines="40" w:before="96" w:afterLines="40" w:after="96" w:line="240" w:lineRule="auto"/>
              <w:jc w:val="left"/>
            </w:pPr>
            <w:r>
              <w:t>$38.4M at NPV 4% for whole 100-year timeframe</w:t>
            </w:r>
          </w:p>
        </w:tc>
        <w:tc>
          <w:tcPr>
            <w:tcW w:w="1623" w:type="dxa"/>
          </w:tcPr>
          <w:p w14:paraId="3C894DA8" w14:textId="77777777" w:rsidR="000D1D20" w:rsidRDefault="000D1D20" w:rsidP="00FF5CBF">
            <w:pPr>
              <w:pStyle w:val="ListBullet0"/>
              <w:numPr>
                <w:ilvl w:val="0"/>
                <w:numId w:val="49"/>
              </w:numPr>
              <w:spacing w:beforeLines="40" w:before="96" w:afterLines="40" w:after="96" w:line="240" w:lineRule="auto"/>
            </w:pPr>
            <w:r>
              <w:t>Operational</w:t>
            </w:r>
          </w:p>
          <w:p w14:paraId="7A7501F7" w14:textId="77777777" w:rsidR="000D1D20" w:rsidRDefault="000D1D20" w:rsidP="00FF5CBF">
            <w:pPr>
              <w:pStyle w:val="ListBullet0"/>
              <w:numPr>
                <w:ilvl w:val="0"/>
                <w:numId w:val="49"/>
              </w:numPr>
              <w:spacing w:beforeLines="40" w:before="96" w:afterLines="40" w:after="96" w:line="240" w:lineRule="auto"/>
            </w:pPr>
            <w:r>
              <w:t>Grants (e.g. DRF)</w:t>
            </w:r>
          </w:p>
          <w:p w14:paraId="75D95C0F" w14:textId="77777777" w:rsidR="000D1D20" w:rsidRDefault="000D1D20" w:rsidP="00FF5CBF">
            <w:pPr>
              <w:pStyle w:val="ListBullet0"/>
              <w:numPr>
                <w:ilvl w:val="0"/>
                <w:numId w:val="49"/>
              </w:numPr>
              <w:spacing w:beforeLines="40" w:before="96" w:afterLines="40" w:after="96" w:line="240" w:lineRule="auto"/>
            </w:pPr>
            <w:r>
              <w:t>Specified Area Rate</w:t>
            </w:r>
          </w:p>
          <w:p w14:paraId="2EADAB0E" w14:textId="77777777" w:rsidR="000D1D20" w:rsidRDefault="000D1D20" w:rsidP="00FF5CBF">
            <w:pPr>
              <w:pStyle w:val="ListBullet0"/>
              <w:numPr>
                <w:ilvl w:val="0"/>
                <w:numId w:val="49"/>
              </w:numPr>
              <w:spacing w:beforeLines="40" w:before="96" w:afterLines="40" w:after="96" w:line="240" w:lineRule="auto"/>
            </w:pPr>
            <w:r>
              <w:t>Levies</w:t>
            </w:r>
          </w:p>
        </w:tc>
        <w:tc>
          <w:tcPr>
            <w:tcW w:w="728" w:type="dxa"/>
          </w:tcPr>
          <w:p w14:paraId="5787F873" w14:textId="77777777" w:rsidR="000D1D20" w:rsidRDefault="000D1D20" w:rsidP="001355DB">
            <w:pPr>
              <w:pStyle w:val="TableText"/>
            </w:pPr>
          </w:p>
        </w:tc>
        <w:tc>
          <w:tcPr>
            <w:tcW w:w="0" w:type="auto"/>
          </w:tcPr>
          <w:p w14:paraId="16532EBE" w14:textId="77777777" w:rsidR="000D1D20" w:rsidRDefault="000D1D20" w:rsidP="001355DB">
            <w:pPr>
              <w:pStyle w:val="TableText"/>
            </w:pPr>
          </w:p>
        </w:tc>
        <w:tc>
          <w:tcPr>
            <w:tcW w:w="0" w:type="auto"/>
          </w:tcPr>
          <w:p w14:paraId="1034F622" w14:textId="77777777" w:rsidR="000D1D20" w:rsidRDefault="000D1D20" w:rsidP="001355DB">
            <w:pPr>
              <w:pStyle w:val="TableText"/>
            </w:pPr>
          </w:p>
        </w:tc>
        <w:tc>
          <w:tcPr>
            <w:tcW w:w="0" w:type="auto"/>
          </w:tcPr>
          <w:p w14:paraId="5AD3384A" w14:textId="77777777" w:rsidR="000D1D20" w:rsidRDefault="000D1D20" w:rsidP="001355DB">
            <w:pPr>
              <w:pStyle w:val="TableText"/>
            </w:pPr>
            <w:r>
              <w:t>x</w:t>
            </w:r>
          </w:p>
        </w:tc>
      </w:tr>
      <w:tr w:rsidR="000D1D20" w14:paraId="20EB6B2C" w14:textId="77777777" w:rsidTr="001355DB">
        <w:tc>
          <w:tcPr>
            <w:tcW w:w="0" w:type="auto"/>
          </w:tcPr>
          <w:p w14:paraId="07C3BD3B" w14:textId="77777777" w:rsidR="000D1D20" w:rsidRDefault="000D1D20" w:rsidP="001355DB">
            <w:pPr>
              <w:pStyle w:val="TableText"/>
            </w:pPr>
            <w:r w:rsidRPr="00A74967">
              <w:rPr>
                <w:b/>
                <w:bCs/>
              </w:rPr>
              <w:t>Recommended Medium and Long-term pathway to address Inundation is a Levee (PR6)</w:t>
            </w:r>
          </w:p>
        </w:tc>
        <w:tc>
          <w:tcPr>
            <w:tcW w:w="0" w:type="auto"/>
          </w:tcPr>
          <w:p w14:paraId="7B3F2405" w14:textId="77777777" w:rsidR="000D1D20" w:rsidRDefault="000D1D20" w:rsidP="00FF5CBF">
            <w:pPr>
              <w:pStyle w:val="ListBullet0"/>
              <w:numPr>
                <w:ilvl w:val="0"/>
                <w:numId w:val="49"/>
              </w:numPr>
              <w:spacing w:beforeLines="40" w:before="96" w:afterLines="40" w:after="96" w:line="240" w:lineRule="auto"/>
            </w:pPr>
            <w:r>
              <w:t>Monitoring and maintenance of infrastructure and design and performance reviews in accordance with new information and CHRMAP updates.</w:t>
            </w:r>
          </w:p>
          <w:p w14:paraId="4055DEBC" w14:textId="77777777" w:rsidR="000D1D20" w:rsidRDefault="000D1D20" w:rsidP="00FF5CBF">
            <w:pPr>
              <w:pStyle w:val="ListBullet0"/>
              <w:numPr>
                <w:ilvl w:val="0"/>
                <w:numId w:val="49"/>
              </w:numPr>
              <w:spacing w:beforeLines="40" w:before="96" w:afterLines="40" w:after="96" w:line="240" w:lineRule="auto"/>
            </w:pPr>
            <w:r>
              <w:t>Secondary components may include the need for additional levees and drainage improvements as sea level rise progresses</w:t>
            </w:r>
          </w:p>
        </w:tc>
        <w:tc>
          <w:tcPr>
            <w:tcW w:w="0" w:type="auto"/>
          </w:tcPr>
          <w:p w14:paraId="394EA325" w14:textId="77777777" w:rsidR="000D1D20" w:rsidRDefault="000D1D20" w:rsidP="00FF5CBF">
            <w:pPr>
              <w:pStyle w:val="ListBullet0"/>
              <w:numPr>
                <w:ilvl w:val="0"/>
                <w:numId w:val="49"/>
              </w:numPr>
              <w:spacing w:beforeLines="40" w:before="96" w:afterLines="40" w:after="96" w:line="240" w:lineRule="auto"/>
            </w:pPr>
            <w:r>
              <w:t>LGA</w:t>
            </w:r>
          </w:p>
        </w:tc>
        <w:tc>
          <w:tcPr>
            <w:tcW w:w="0" w:type="auto"/>
          </w:tcPr>
          <w:p w14:paraId="18D59BE9" w14:textId="77777777" w:rsidR="000D1D20" w:rsidRDefault="000D1D20" w:rsidP="00FF5CBF">
            <w:pPr>
              <w:pStyle w:val="ListBullet0"/>
              <w:numPr>
                <w:ilvl w:val="0"/>
                <w:numId w:val="49"/>
              </w:numPr>
              <w:spacing w:beforeLines="40" w:before="96" w:afterLines="40" w:after="96" w:line="240" w:lineRule="auto"/>
            </w:pPr>
            <w:r>
              <w:t>Monitoring</w:t>
            </w:r>
          </w:p>
          <w:p w14:paraId="55CAE879" w14:textId="77777777" w:rsidR="000D1D20" w:rsidRDefault="000D1D20" w:rsidP="00FF5CBF">
            <w:pPr>
              <w:pStyle w:val="ListBullet0"/>
              <w:numPr>
                <w:ilvl w:val="0"/>
                <w:numId w:val="49"/>
              </w:numPr>
              <w:spacing w:beforeLines="40" w:before="96" w:afterLines="40" w:after="96" w:line="240" w:lineRule="auto"/>
            </w:pPr>
            <w:r>
              <w:t>Updated CHRMAP</w:t>
            </w:r>
          </w:p>
        </w:tc>
        <w:tc>
          <w:tcPr>
            <w:tcW w:w="0" w:type="auto"/>
          </w:tcPr>
          <w:p w14:paraId="644557F3" w14:textId="77777777" w:rsidR="000D1D20" w:rsidRPr="00080254" w:rsidRDefault="000D1D20" w:rsidP="00FF5CBF">
            <w:pPr>
              <w:pStyle w:val="ListBullet0"/>
              <w:numPr>
                <w:ilvl w:val="0"/>
                <w:numId w:val="49"/>
              </w:numPr>
              <w:spacing w:beforeLines="40" w:before="96" w:afterLines="40" w:after="96" w:line="240" w:lineRule="auto"/>
              <w:jc w:val="left"/>
            </w:pPr>
            <w:r>
              <w:t>$2.5M at NPV 4%</w:t>
            </w:r>
          </w:p>
          <w:p w14:paraId="534BF7FE" w14:textId="77777777" w:rsidR="000D1D20" w:rsidRDefault="000D1D20" w:rsidP="00FF5CBF">
            <w:pPr>
              <w:pStyle w:val="ListBullet0"/>
              <w:numPr>
                <w:ilvl w:val="0"/>
                <w:numId w:val="49"/>
              </w:numPr>
              <w:spacing w:beforeLines="40" w:before="96" w:afterLines="40" w:after="96" w:line="240" w:lineRule="auto"/>
              <w:jc w:val="left"/>
            </w:pPr>
            <w:r>
              <w:t>Annual maintenance estimate of approximately $0.1M</w:t>
            </w:r>
          </w:p>
        </w:tc>
        <w:tc>
          <w:tcPr>
            <w:tcW w:w="1623" w:type="dxa"/>
          </w:tcPr>
          <w:p w14:paraId="2475A8A3" w14:textId="77777777" w:rsidR="000D1D20" w:rsidRDefault="000D1D20" w:rsidP="00FF5CBF">
            <w:pPr>
              <w:pStyle w:val="ListBullet0"/>
              <w:numPr>
                <w:ilvl w:val="0"/>
                <w:numId w:val="49"/>
              </w:numPr>
              <w:spacing w:beforeLines="40" w:before="96" w:afterLines="40" w:after="96" w:line="240" w:lineRule="auto"/>
            </w:pPr>
            <w:r>
              <w:t>Operational</w:t>
            </w:r>
          </w:p>
          <w:p w14:paraId="50D33521" w14:textId="77777777" w:rsidR="000D1D20" w:rsidRDefault="000D1D20" w:rsidP="00FF5CBF">
            <w:pPr>
              <w:pStyle w:val="ListBullet0"/>
              <w:numPr>
                <w:ilvl w:val="0"/>
                <w:numId w:val="49"/>
              </w:numPr>
              <w:spacing w:beforeLines="40" w:before="96" w:afterLines="40" w:after="96" w:line="240" w:lineRule="auto"/>
            </w:pPr>
            <w:r>
              <w:t>Grants (e.g. DRF)</w:t>
            </w:r>
          </w:p>
          <w:p w14:paraId="51AA0A81" w14:textId="77777777" w:rsidR="000D1D20" w:rsidRDefault="000D1D20" w:rsidP="00FF5CBF">
            <w:pPr>
              <w:pStyle w:val="ListBullet0"/>
              <w:numPr>
                <w:ilvl w:val="0"/>
                <w:numId w:val="49"/>
              </w:numPr>
              <w:spacing w:beforeLines="40" w:before="96" w:afterLines="40" w:after="96" w:line="240" w:lineRule="auto"/>
            </w:pPr>
            <w:r>
              <w:t>Direct beneficiaries</w:t>
            </w:r>
          </w:p>
        </w:tc>
        <w:tc>
          <w:tcPr>
            <w:tcW w:w="728" w:type="dxa"/>
          </w:tcPr>
          <w:p w14:paraId="0361D6B3" w14:textId="77777777" w:rsidR="000D1D20" w:rsidRDefault="000D1D20" w:rsidP="001355DB">
            <w:pPr>
              <w:pStyle w:val="TableText"/>
            </w:pPr>
          </w:p>
        </w:tc>
        <w:tc>
          <w:tcPr>
            <w:tcW w:w="0" w:type="auto"/>
          </w:tcPr>
          <w:p w14:paraId="5B7650B7" w14:textId="77777777" w:rsidR="000D1D20" w:rsidRDefault="000D1D20" w:rsidP="001355DB">
            <w:pPr>
              <w:pStyle w:val="TableText"/>
            </w:pPr>
          </w:p>
        </w:tc>
        <w:tc>
          <w:tcPr>
            <w:tcW w:w="0" w:type="auto"/>
          </w:tcPr>
          <w:p w14:paraId="65036574" w14:textId="77777777" w:rsidR="000D1D20" w:rsidRDefault="000D1D20" w:rsidP="001355DB">
            <w:pPr>
              <w:pStyle w:val="TableText"/>
            </w:pPr>
          </w:p>
        </w:tc>
        <w:tc>
          <w:tcPr>
            <w:tcW w:w="0" w:type="auto"/>
          </w:tcPr>
          <w:p w14:paraId="4E57FF56" w14:textId="77777777" w:rsidR="000D1D20" w:rsidRDefault="000D1D20" w:rsidP="001355DB">
            <w:pPr>
              <w:pStyle w:val="TableText"/>
            </w:pPr>
            <w:r>
              <w:t>x</w:t>
            </w:r>
          </w:p>
        </w:tc>
      </w:tr>
    </w:tbl>
    <w:p w14:paraId="027B442A" w14:textId="77777777" w:rsidR="000D1D20" w:rsidRDefault="000D1D20" w:rsidP="000D1D20">
      <w:pPr>
        <w:spacing w:before="80" w:after="80"/>
        <w:rPr>
          <w:b/>
          <w:color w:val="595959" w:themeColor="text1" w:themeTint="A6"/>
          <w:sz w:val="18"/>
        </w:rPr>
      </w:pPr>
      <w:r>
        <w:br w:type="page"/>
      </w:r>
    </w:p>
    <w:p w14:paraId="4DF2B62E" w14:textId="730EE966" w:rsidR="000D1D20" w:rsidRDefault="000D1D20" w:rsidP="000D1D20">
      <w:pPr>
        <w:pStyle w:val="TableCaption"/>
      </w:pPr>
      <w:bookmarkStart w:id="344" w:name="_Ref155794050"/>
      <w:bookmarkStart w:id="345" w:name="_Toc156209464"/>
      <w:bookmarkStart w:id="346" w:name="_Toc164411300"/>
      <w:r>
        <w:lastRenderedPageBreak/>
        <w:t>Table </w:t>
      </w:r>
      <w:r w:rsidR="008647EF">
        <w:fldChar w:fldCharType="begin"/>
      </w:r>
      <w:r w:rsidR="008647EF">
        <w:instrText xml:space="preserve"> STYLEREF 1 \s </w:instrText>
      </w:r>
      <w:r w:rsidR="008647EF">
        <w:fldChar w:fldCharType="separate"/>
      </w:r>
      <w:r w:rsidR="008647EF">
        <w:rPr>
          <w:noProof/>
        </w:rPr>
        <w:t>8</w:t>
      </w:r>
      <w:r w:rsidR="008647EF">
        <w:fldChar w:fldCharType="end"/>
      </w:r>
      <w:r w:rsidR="008647EF">
        <w:noBreakHyphen/>
      </w:r>
      <w:r w:rsidR="008647EF">
        <w:fldChar w:fldCharType="begin"/>
      </w:r>
      <w:r w:rsidR="008647EF">
        <w:instrText xml:space="preserve"> SEQ Table \* ARABIC \s 1 </w:instrText>
      </w:r>
      <w:r w:rsidR="008647EF">
        <w:fldChar w:fldCharType="separate"/>
      </w:r>
      <w:r w:rsidR="008647EF">
        <w:rPr>
          <w:noProof/>
        </w:rPr>
        <w:t>10</w:t>
      </w:r>
      <w:r w:rsidR="008647EF">
        <w:fldChar w:fldCharType="end"/>
      </w:r>
      <w:bookmarkEnd w:id="344"/>
      <w:r>
        <w:tab/>
      </w:r>
      <w:r w:rsidRPr="00181B50">
        <w:t xml:space="preserve">MU5 - </w:t>
      </w:r>
      <w:r w:rsidRPr="00D54485">
        <w:t xml:space="preserve">Geake Point to </w:t>
      </w:r>
      <w:r w:rsidR="000D0B30">
        <w:t xml:space="preserve">Point </w:t>
      </w:r>
      <w:r w:rsidRPr="00D54485">
        <w:t xml:space="preserve">Possession </w:t>
      </w:r>
      <w:r w:rsidR="000D0B30">
        <w:t xml:space="preserve">/ Uredale </w:t>
      </w:r>
      <w:r w:rsidRPr="00D54485">
        <w:t>Point</w:t>
      </w:r>
      <w:r>
        <w:t xml:space="preserve"> recommendations in priority order.</w:t>
      </w:r>
      <w:bookmarkEnd w:id="345"/>
      <w:bookmarkEnd w:id="346"/>
    </w:p>
    <w:tbl>
      <w:tblPr>
        <w:tblStyle w:val="BlueTable"/>
        <w:tblW w:w="0" w:type="auto"/>
        <w:tblLook w:val="0620" w:firstRow="1" w:lastRow="0" w:firstColumn="0" w:lastColumn="0" w:noHBand="1" w:noVBand="1"/>
      </w:tblPr>
      <w:tblGrid>
        <w:gridCol w:w="3515"/>
        <w:gridCol w:w="4619"/>
        <w:gridCol w:w="2247"/>
        <w:gridCol w:w="2104"/>
        <w:gridCol w:w="2796"/>
        <w:gridCol w:w="1736"/>
        <w:gridCol w:w="728"/>
        <w:gridCol w:w="790"/>
        <w:gridCol w:w="790"/>
        <w:gridCol w:w="790"/>
      </w:tblGrid>
      <w:tr w:rsidR="000D1D20" w14:paraId="080BCE73" w14:textId="77777777" w:rsidTr="001355DB">
        <w:trPr>
          <w:cnfStyle w:val="100000000000" w:firstRow="1" w:lastRow="0" w:firstColumn="0" w:lastColumn="0" w:oddVBand="0" w:evenVBand="0" w:oddHBand="0" w:evenHBand="0" w:firstRowFirstColumn="0" w:firstRowLastColumn="0" w:lastRowFirstColumn="0" w:lastRowLastColumn="0"/>
        </w:trPr>
        <w:tc>
          <w:tcPr>
            <w:tcW w:w="0" w:type="auto"/>
          </w:tcPr>
          <w:p w14:paraId="7343E205" w14:textId="77777777" w:rsidR="000D1D20" w:rsidRDefault="000D1D20" w:rsidP="001355DB">
            <w:pPr>
              <w:pStyle w:val="TableHeading"/>
            </w:pPr>
            <w:r>
              <w:t>Recommendation</w:t>
            </w:r>
          </w:p>
        </w:tc>
        <w:tc>
          <w:tcPr>
            <w:tcW w:w="0" w:type="auto"/>
          </w:tcPr>
          <w:p w14:paraId="0E42CC76" w14:textId="77777777" w:rsidR="000D1D20" w:rsidRDefault="000D1D20" w:rsidP="001355DB">
            <w:pPr>
              <w:pStyle w:val="TableHeading"/>
            </w:pPr>
            <w:r>
              <w:t>Notes</w:t>
            </w:r>
          </w:p>
        </w:tc>
        <w:tc>
          <w:tcPr>
            <w:tcW w:w="0" w:type="auto"/>
          </w:tcPr>
          <w:p w14:paraId="33AA7B0C" w14:textId="77777777" w:rsidR="000D1D20" w:rsidRDefault="000D1D20" w:rsidP="001355DB">
            <w:pPr>
              <w:pStyle w:val="TableHeading"/>
            </w:pPr>
            <w:r>
              <w:t>Responsibility</w:t>
            </w:r>
          </w:p>
        </w:tc>
        <w:tc>
          <w:tcPr>
            <w:tcW w:w="0" w:type="auto"/>
          </w:tcPr>
          <w:p w14:paraId="2E3F4D55" w14:textId="77777777" w:rsidR="000D1D20" w:rsidRDefault="000D1D20" w:rsidP="001355DB">
            <w:pPr>
              <w:pStyle w:val="TableHeading"/>
            </w:pPr>
            <w:r>
              <w:t>Trigger</w:t>
            </w:r>
          </w:p>
        </w:tc>
        <w:tc>
          <w:tcPr>
            <w:tcW w:w="0" w:type="auto"/>
          </w:tcPr>
          <w:p w14:paraId="4D8684C7" w14:textId="77777777" w:rsidR="000D1D20" w:rsidRDefault="000D1D20" w:rsidP="001355DB">
            <w:pPr>
              <w:pStyle w:val="TableHeading"/>
            </w:pPr>
            <w:r>
              <w:t>Cost</w:t>
            </w:r>
          </w:p>
        </w:tc>
        <w:tc>
          <w:tcPr>
            <w:tcW w:w="1736" w:type="dxa"/>
          </w:tcPr>
          <w:p w14:paraId="3CA0AA66" w14:textId="77777777" w:rsidR="000D1D20" w:rsidRDefault="000D1D20" w:rsidP="001355DB">
            <w:pPr>
              <w:pStyle w:val="TableHeading"/>
            </w:pPr>
            <w:r>
              <w:t>Funding</w:t>
            </w:r>
          </w:p>
        </w:tc>
        <w:tc>
          <w:tcPr>
            <w:tcW w:w="728" w:type="dxa"/>
          </w:tcPr>
          <w:p w14:paraId="7AB5D84D" w14:textId="77777777" w:rsidR="000D1D20" w:rsidRDefault="000D1D20" w:rsidP="001355DB">
            <w:pPr>
              <w:pStyle w:val="TableHeading"/>
            </w:pPr>
            <w:r>
              <w:t>2024-2025</w:t>
            </w:r>
          </w:p>
        </w:tc>
        <w:tc>
          <w:tcPr>
            <w:tcW w:w="0" w:type="auto"/>
          </w:tcPr>
          <w:p w14:paraId="2D380C97" w14:textId="77777777" w:rsidR="000D1D20" w:rsidRDefault="000D1D20" w:rsidP="001355DB">
            <w:pPr>
              <w:pStyle w:val="TableHeading"/>
            </w:pPr>
            <w:r>
              <w:t>2025-2035</w:t>
            </w:r>
          </w:p>
        </w:tc>
        <w:tc>
          <w:tcPr>
            <w:tcW w:w="0" w:type="auto"/>
          </w:tcPr>
          <w:p w14:paraId="5A47D831" w14:textId="77777777" w:rsidR="000D1D20" w:rsidRDefault="000D1D20" w:rsidP="001355DB">
            <w:pPr>
              <w:pStyle w:val="TableHeading"/>
            </w:pPr>
            <w:r>
              <w:t>2035-2050</w:t>
            </w:r>
          </w:p>
        </w:tc>
        <w:tc>
          <w:tcPr>
            <w:tcW w:w="0" w:type="auto"/>
          </w:tcPr>
          <w:p w14:paraId="113DB9C1" w14:textId="77777777" w:rsidR="000D1D20" w:rsidRPr="000D271C" w:rsidRDefault="000D1D20" w:rsidP="001355DB">
            <w:pPr>
              <w:pStyle w:val="TableHeading"/>
            </w:pPr>
            <w:r>
              <w:t>2050-2120</w:t>
            </w:r>
          </w:p>
        </w:tc>
      </w:tr>
      <w:tr w:rsidR="000D1D20" w14:paraId="5AD67206" w14:textId="77777777" w:rsidTr="001355DB">
        <w:tc>
          <w:tcPr>
            <w:tcW w:w="0" w:type="auto"/>
          </w:tcPr>
          <w:p w14:paraId="47FBC122" w14:textId="77777777" w:rsidR="000D1D20" w:rsidRDefault="000D1D20" w:rsidP="001355DB">
            <w:pPr>
              <w:pStyle w:val="TableText"/>
            </w:pPr>
            <w:r>
              <w:t>INVESTIGATION 1</w:t>
            </w:r>
          </w:p>
          <w:p w14:paraId="202D0766" w14:textId="77777777" w:rsidR="000D1D20" w:rsidRDefault="000D1D20" w:rsidP="001355DB">
            <w:pPr>
              <w:pStyle w:val="TableText"/>
            </w:pPr>
            <w:r>
              <w:t>Sand Source Feasibility Study</w:t>
            </w:r>
          </w:p>
        </w:tc>
        <w:tc>
          <w:tcPr>
            <w:tcW w:w="0" w:type="auto"/>
          </w:tcPr>
          <w:p w14:paraId="7A81A9EB" w14:textId="77777777" w:rsidR="000D1D20" w:rsidRDefault="000D1D20" w:rsidP="00FF5CBF">
            <w:pPr>
              <w:pStyle w:val="ListBullet0"/>
              <w:numPr>
                <w:ilvl w:val="0"/>
                <w:numId w:val="48"/>
              </w:numPr>
              <w:spacing w:beforeLines="40" w:before="96" w:afterLines="40" w:after="96" w:line="240" w:lineRule="auto"/>
            </w:pPr>
            <w:r>
              <w:t>Determine the capacity and cost of local sand supplies, including both land-based and marine sources. Undertake early stakeholder engagement and consider approvals required.</w:t>
            </w:r>
          </w:p>
          <w:p w14:paraId="5B60A2B7" w14:textId="77777777" w:rsidR="000D1D20" w:rsidRDefault="000D1D20" w:rsidP="00FF5CBF">
            <w:pPr>
              <w:pStyle w:val="ListBullet0"/>
              <w:numPr>
                <w:ilvl w:val="0"/>
                <w:numId w:val="48"/>
              </w:numPr>
              <w:spacing w:beforeLines="40" w:before="96" w:afterLines="40" w:after="96" w:line="240" w:lineRule="auto"/>
            </w:pPr>
            <w:r>
              <w:t>Likely require repetition over Medium-term</w:t>
            </w:r>
          </w:p>
          <w:p w14:paraId="254F3A8C" w14:textId="77777777" w:rsidR="000D1D20" w:rsidRDefault="000D1D20" w:rsidP="00FF5CBF">
            <w:pPr>
              <w:pStyle w:val="ListBullet0"/>
              <w:numPr>
                <w:ilvl w:val="0"/>
                <w:numId w:val="48"/>
              </w:numPr>
              <w:spacing w:beforeLines="40" w:before="96" w:afterLines="40" w:after="96" w:line="240" w:lineRule="auto"/>
            </w:pPr>
            <w:r>
              <w:t>Focus is sand for beach nourishment and appropriate material for levee construction and potentially to raise height of land in inundation hazard zones.</w:t>
            </w:r>
          </w:p>
        </w:tc>
        <w:tc>
          <w:tcPr>
            <w:tcW w:w="0" w:type="auto"/>
          </w:tcPr>
          <w:p w14:paraId="6B85CE32" w14:textId="77777777" w:rsidR="000D1D20" w:rsidRDefault="000D1D20" w:rsidP="00FF5CBF">
            <w:pPr>
              <w:pStyle w:val="ListBullet0"/>
              <w:numPr>
                <w:ilvl w:val="0"/>
                <w:numId w:val="48"/>
              </w:numPr>
              <w:spacing w:beforeLines="40" w:before="96" w:afterLines="40" w:after="96" w:line="240" w:lineRule="auto"/>
            </w:pPr>
            <w:r>
              <w:t>LGA</w:t>
            </w:r>
          </w:p>
          <w:p w14:paraId="07443CFE" w14:textId="77777777" w:rsidR="000D1D20" w:rsidRDefault="000D1D20" w:rsidP="00FF5CBF">
            <w:pPr>
              <w:pStyle w:val="ListBullet0"/>
              <w:numPr>
                <w:ilvl w:val="0"/>
                <w:numId w:val="48"/>
              </w:numPr>
              <w:spacing w:beforeLines="40" w:before="96" w:afterLines="40" w:after="96" w:line="240" w:lineRule="auto"/>
            </w:pPr>
            <w:r>
              <w:t>Can seek support from state departments</w:t>
            </w:r>
          </w:p>
        </w:tc>
        <w:tc>
          <w:tcPr>
            <w:tcW w:w="0" w:type="auto"/>
          </w:tcPr>
          <w:p w14:paraId="5FE4943E" w14:textId="77777777" w:rsidR="000D1D20" w:rsidRDefault="000D1D20" w:rsidP="00FF5CBF">
            <w:pPr>
              <w:pStyle w:val="ListBullet0"/>
              <w:numPr>
                <w:ilvl w:val="0"/>
                <w:numId w:val="48"/>
              </w:numPr>
              <w:spacing w:beforeLines="40" w:before="96" w:afterLines="40" w:after="96" w:line="240" w:lineRule="auto"/>
            </w:pPr>
            <w:r>
              <w:t>Completed CHRMAP</w:t>
            </w:r>
          </w:p>
        </w:tc>
        <w:tc>
          <w:tcPr>
            <w:tcW w:w="0" w:type="auto"/>
          </w:tcPr>
          <w:p w14:paraId="5F1802A9" w14:textId="77777777" w:rsidR="000D1D20" w:rsidRDefault="000D1D20" w:rsidP="00FF5CBF">
            <w:pPr>
              <w:pStyle w:val="ListBullet0"/>
              <w:numPr>
                <w:ilvl w:val="0"/>
                <w:numId w:val="48"/>
              </w:numPr>
              <w:spacing w:beforeLines="40" w:before="96" w:afterLines="40" w:after="96" w:line="240" w:lineRule="auto"/>
              <w:jc w:val="left"/>
            </w:pPr>
            <w:r>
              <w:t>$150,000</w:t>
            </w:r>
          </w:p>
          <w:p w14:paraId="372AFC11" w14:textId="77777777" w:rsidR="000D1D20" w:rsidRDefault="000D1D20" w:rsidP="00FF5CBF">
            <w:pPr>
              <w:pStyle w:val="ListBullet0"/>
              <w:numPr>
                <w:ilvl w:val="0"/>
                <w:numId w:val="48"/>
              </w:numPr>
              <w:spacing w:beforeLines="40" w:before="96" w:afterLines="40" w:after="96" w:line="240" w:lineRule="auto"/>
              <w:jc w:val="left"/>
            </w:pPr>
            <w:r>
              <w:t>Assumes undertaken for all MUs</w:t>
            </w:r>
          </w:p>
        </w:tc>
        <w:tc>
          <w:tcPr>
            <w:tcW w:w="1736" w:type="dxa"/>
          </w:tcPr>
          <w:p w14:paraId="0714D685" w14:textId="77777777" w:rsidR="000D1D20" w:rsidRDefault="000D1D20" w:rsidP="00FF5CBF">
            <w:pPr>
              <w:pStyle w:val="ListBullet0"/>
              <w:numPr>
                <w:ilvl w:val="0"/>
                <w:numId w:val="48"/>
              </w:numPr>
              <w:spacing w:beforeLines="40" w:before="96" w:afterLines="40" w:after="96" w:line="240" w:lineRule="auto"/>
            </w:pPr>
            <w:r>
              <w:t>Operational</w:t>
            </w:r>
          </w:p>
          <w:p w14:paraId="45766496" w14:textId="77777777" w:rsidR="000D1D20" w:rsidRDefault="000D1D20" w:rsidP="00FF5CBF">
            <w:pPr>
              <w:pStyle w:val="ListBullet0"/>
              <w:numPr>
                <w:ilvl w:val="0"/>
                <w:numId w:val="48"/>
              </w:numPr>
              <w:spacing w:beforeLines="40" w:before="96" w:afterLines="40" w:after="96" w:line="240" w:lineRule="auto"/>
            </w:pPr>
            <w:r>
              <w:t>Grants (e.g. CAP)</w:t>
            </w:r>
          </w:p>
        </w:tc>
        <w:tc>
          <w:tcPr>
            <w:tcW w:w="728" w:type="dxa"/>
          </w:tcPr>
          <w:p w14:paraId="69FDB824" w14:textId="77777777" w:rsidR="000D1D20" w:rsidRDefault="000D1D20" w:rsidP="001355DB">
            <w:pPr>
              <w:pStyle w:val="TableText"/>
            </w:pPr>
            <w:r>
              <w:t>x</w:t>
            </w:r>
          </w:p>
        </w:tc>
        <w:tc>
          <w:tcPr>
            <w:tcW w:w="0" w:type="auto"/>
          </w:tcPr>
          <w:p w14:paraId="458E1B43" w14:textId="77777777" w:rsidR="000D1D20" w:rsidRDefault="000D1D20" w:rsidP="001355DB">
            <w:pPr>
              <w:pStyle w:val="TableText"/>
            </w:pPr>
            <w:r>
              <w:t>x</w:t>
            </w:r>
          </w:p>
        </w:tc>
        <w:tc>
          <w:tcPr>
            <w:tcW w:w="0" w:type="auto"/>
          </w:tcPr>
          <w:p w14:paraId="77B8BF8A" w14:textId="77777777" w:rsidR="000D1D20" w:rsidRDefault="000D1D20" w:rsidP="001355DB">
            <w:pPr>
              <w:pStyle w:val="TableText"/>
            </w:pPr>
          </w:p>
        </w:tc>
        <w:tc>
          <w:tcPr>
            <w:tcW w:w="0" w:type="auto"/>
          </w:tcPr>
          <w:p w14:paraId="0599080C" w14:textId="77777777" w:rsidR="000D1D20" w:rsidRDefault="000D1D20" w:rsidP="001355DB">
            <w:pPr>
              <w:pStyle w:val="TableText"/>
            </w:pPr>
          </w:p>
        </w:tc>
      </w:tr>
      <w:tr w:rsidR="000D1D20" w14:paraId="37C3BD99" w14:textId="77777777" w:rsidTr="001355DB">
        <w:tc>
          <w:tcPr>
            <w:tcW w:w="0" w:type="auto"/>
          </w:tcPr>
          <w:p w14:paraId="6FE13CD3" w14:textId="77777777" w:rsidR="000D1D20" w:rsidRDefault="000D1D20" w:rsidP="001355DB">
            <w:pPr>
              <w:pStyle w:val="TableText"/>
            </w:pPr>
            <w:r>
              <w:t>INVESTIGATION 2</w:t>
            </w:r>
          </w:p>
          <w:p w14:paraId="2EE75307" w14:textId="77777777" w:rsidR="000D1D20" w:rsidRDefault="000D1D20" w:rsidP="001355DB">
            <w:pPr>
              <w:pStyle w:val="TableText"/>
            </w:pPr>
            <w:r>
              <w:t>Update Foreshore Management Plans (FMPs)</w:t>
            </w:r>
          </w:p>
        </w:tc>
        <w:tc>
          <w:tcPr>
            <w:tcW w:w="0" w:type="auto"/>
          </w:tcPr>
          <w:p w14:paraId="7B690E6D" w14:textId="77777777" w:rsidR="000D1D20" w:rsidRDefault="000D1D20" w:rsidP="00FF5CBF">
            <w:pPr>
              <w:pStyle w:val="ListBullet0"/>
              <w:numPr>
                <w:ilvl w:val="0"/>
                <w:numId w:val="48"/>
              </w:numPr>
              <w:spacing w:beforeLines="40" w:before="96" w:afterLines="40" w:after="96" w:line="240" w:lineRule="auto"/>
            </w:pPr>
            <w:r>
              <w:t xml:space="preserve">Prepare an updated Foreshore Management Plan </w:t>
            </w:r>
          </w:p>
          <w:p w14:paraId="085B7877" w14:textId="77777777" w:rsidR="000D1D20" w:rsidRDefault="000D1D20" w:rsidP="00FF5CBF">
            <w:pPr>
              <w:pStyle w:val="ListBullet0"/>
              <w:numPr>
                <w:ilvl w:val="0"/>
                <w:numId w:val="48"/>
              </w:numPr>
              <w:spacing w:beforeLines="40" w:before="96" w:afterLines="40" w:after="96" w:line="240" w:lineRule="auto"/>
            </w:pPr>
            <w:r>
              <w:t>An updated FMP could help increase the protective capacity of the natural dune system. Updates should address the requirements of SPP2.6 and incorporate the findings of this CHRMAP</w:t>
            </w:r>
          </w:p>
        </w:tc>
        <w:tc>
          <w:tcPr>
            <w:tcW w:w="0" w:type="auto"/>
          </w:tcPr>
          <w:p w14:paraId="3829334A" w14:textId="77777777" w:rsidR="000D1D20" w:rsidRDefault="000D1D20" w:rsidP="00FF5CBF">
            <w:pPr>
              <w:pStyle w:val="ListBullet0"/>
              <w:numPr>
                <w:ilvl w:val="0"/>
                <w:numId w:val="48"/>
              </w:numPr>
              <w:spacing w:beforeLines="40" w:before="96" w:afterLines="40" w:after="96" w:line="240" w:lineRule="auto"/>
            </w:pPr>
            <w:r>
              <w:t>LGA</w:t>
            </w:r>
          </w:p>
        </w:tc>
        <w:tc>
          <w:tcPr>
            <w:tcW w:w="0" w:type="auto"/>
          </w:tcPr>
          <w:p w14:paraId="1FA1715B" w14:textId="77777777" w:rsidR="000D1D20" w:rsidRDefault="000D1D20" w:rsidP="00FF5CBF">
            <w:pPr>
              <w:pStyle w:val="ListBullet0"/>
              <w:numPr>
                <w:ilvl w:val="0"/>
                <w:numId w:val="48"/>
              </w:numPr>
              <w:spacing w:beforeLines="40" w:before="96" w:afterLines="40" w:after="96" w:line="240" w:lineRule="auto"/>
            </w:pPr>
            <w:r>
              <w:t>Completed CHRMAP</w:t>
            </w:r>
          </w:p>
        </w:tc>
        <w:tc>
          <w:tcPr>
            <w:tcW w:w="0" w:type="auto"/>
          </w:tcPr>
          <w:p w14:paraId="0F8670E0" w14:textId="77777777" w:rsidR="000D1D20" w:rsidRDefault="000D1D20" w:rsidP="00FF5CBF">
            <w:pPr>
              <w:pStyle w:val="ListBullet0"/>
              <w:numPr>
                <w:ilvl w:val="0"/>
                <w:numId w:val="48"/>
              </w:numPr>
              <w:spacing w:beforeLines="40" w:before="96" w:afterLines="40" w:after="96" w:line="240" w:lineRule="auto"/>
              <w:jc w:val="left"/>
            </w:pPr>
            <w:r>
              <w:t>$30,000</w:t>
            </w:r>
          </w:p>
          <w:p w14:paraId="33A4F96C" w14:textId="77777777" w:rsidR="000D1D20" w:rsidRDefault="000D1D20" w:rsidP="00FF5CBF">
            <w:pPr>
              <w:pStyle w:val="ListBullet0"/>
              <w:numPr>
                <w:ilvl w:val="0"/>
                <w:numId w:val="48"/>
              </w:numPr>
              <w:spacing w:beforeLines="40" w:before="96" w:afterLines="40" w:after="96" w:line="240" w:lineRule="auto"/>
              <w:jc w:val="left"/>
            </w:pPr>
            <w:r>
              <w:t>Assumes only undertaken for this MU in isolation, but synergies should be investigated.</w:t>
            </w:r>
          </w:p>
        </w:tc>
        <w:tc>
          <w:tcPr>
            <w:tcW w:w="1736" w:type="dxa"/>
          </w:tcPr>
          <w:p w14:paraId="5B0178FA" w14:textId="77777777" w:rsidR="000D1D20" w:rsidRDefault="000D1D20" w:rsidP="00FF5CBF">
            <w:pPr>
              <w:pStyle w:val="ListBullet0"/>
              <w:numPr>
                <w:ilvl w:val="0"/>
                <w:numId w:val="48"/>
              </w:numPr>
              <w:spacing w:beforeLines="40" w:before="96" w:afterLines="40" w:after="96" w:line="240" w:lineRule="auto"/>
            </w:pPr>
            <w:r>
              <w:t>Operational</w:t>
            </w:r>
          </w:p>
          <w:p w14:paraId="628AF95E" w14:textId="77777777" w:rsidR="000D1D20" w:rsidRDefault="000D1D20" w:rsidP="00FF5CBF">
            <w:pPr>
              <w:pStyle w:val="ListBullet0"/>
              <w:numPr>
                <w:ilvl w:val="0"/>
                <w:numId w:val="48"/>
              </w:numPr>
              <w:spacing w:beforeLines="40" w:before="96" w:afterLines="40" w:after="96" w:line="240" w:lineRule="auto"/>
            </w:pPr>
            <w:r>
              <w:t>Grants (e.g. CMPAP)</w:t>
            </w:r>
          </w:p>
        </w:tc>
        <w:tc>
          <w:tcPr>
            <w:tcW w:w="728" w:type="dxa"/>
          </w:tcPr>
          <w:p w14:paraId="088D703B" w14:textId="77777777" w:rsidR="000D1D20" w:rsidRDefault="000D1D20" w:rsidP="001355DB">
            <w:pPr>
              <w:pStyle w:val="TableText"/>
            </w:pPr>
            <w:r>
              <w:t>x</w:t>
            </w:r>
          </w:p>
        </w:tc>
        <w:tc>
          <w:tcPr>
            <w:tcW w:w="0" w:type="auto"/>
          </w:tcPr>
          <w:p w14:paraId="35173C2F" w14:textId="77777777" w:rsidR="000D1D20" w:rsidRDefault="000D1D20" w:rsidP="001355DB">
            <w:pPr>
              <w:pStyle w:val="TableText"/>
            </w:pPr>
            <w:r>
              <w:t>x</w:t>
            </w:r>
          </w:p>
        </w:tc>
        <w:tc>
          <w:tcPr>
            <w:tcW w:w="0" w:type="auto"/>
          </w:tcPr>
          <w:p w14:paraId="576CAC1E" w14:textId="77777777" w:rsidR="000D1D20" w:rsidRDefault="000D1D20" w:rsidP="001355DB">
            <w:pPr>
              <w:pStyle w:val="TableText"/>
            </w:pPr>
            <w:r>
              <w:t>x</w:t>
            </w:r>
          </w:p>
        </w:tc>
        <w:tc>
          <w:tcPr>
            <w:tcW w:w="0" w:type="auto"/>
          </w:tcPr>
          <w:p w14:paraId="7F13DAF4" w14:textId="77777777" w:rsidR="000D1D20" w:rsidRDefault="000D1D20" w:rsidP="001355DB">
            <w:pPr>
              <w:pStyle w:val="TableText"/>
            </w:pPr>
            <w:r>
              <w:t>x</w:t>
            </w:r>
          </w:p>
        </w:tc>
      </w:tr>
      <w:tr w:rsidR="000D1D20" w14:paraId="26DC215E" w14:textId="77777777" w:rsidTr="001355DB">
        <w:tc>
          <w:tcPr>
            <w:tcW w:w="0" w:type="auto"/>
            <w:vAlign w:val="center"/>
          </w:tcPr>
          <w:p w14:paraId="6B4D7344" w14:textId="77777777" w:rsidR="000D1D20" w:rsidRDefault="000D1D20" w:rsidP="001355DB">
            <w:pPr>
              <w:pStyle w:val="TableText"/>
            </w:pPr>
            <w:r w:rsidRPr="000856DF">
              <w:t>Locating assets in areas that will not be vulnerable to coastal hazards (AV)</w:t>
            </w:r>
          </w:p>
        </w:tc>
        <w:tc>
          <w:tcPr>
            <w:tcW w:w="0" w:type="auto"/>
            <w:vAlign w:val="center"/>
          </w:tcPr>
          <w:p w14:paraId="154BEBFF" w14:textId="77777777" w:rsidR="000D1D20" w:rsidRDefault="000D1D20" w:rsidP="00FF5CBF">
            <w:pPr>
              <w:pStyle w:val="ListBullet0"/>
              <w:numPr>
                <w:ilvl w:val="0"/>
                <w:numId w:val="48"/>
              </w:numPr>
              <w:spacing w:beforeLines="40" w:before="96" w:afterLines="40" w:after="96" w:line="240" w:lineRule="auto"/>
            </w:pPr>
            <w:r>
              <w:t>Item cost for investigations and management plans</w:t>
            </w:r>
          </w:p>
        </w:tc>
        <w:tc>
          <w:tcPr>
            <w:tcW w:w="0" w:type="auto"/>
          </w:tcPr>
          <w:p w14:paraId="1CA94585" w14:textId="77777777" w:rsidR="000D1D20" w:rsidRDefault="000D1D20" w:rsidP="00FF5CBF">
            <w:pPr>
              <w:pStyle w:val="ListBullet0"/>
              <w:numPr>
                <w:ilvl w:val="0"/>
                <w:numId w:val="48"/>
              </w:numPr>
              <w:spacing w:beforeLines="40" w:before="96" w:afterLines="40" w:after="96" w:line="240" w:lineRule="auto"/>
            </w:pPr>
            <w:r>
              <w:t>LGA</w:t>
            </w:r>
          </w:p>
        </w:tc>
        <w:tc>
          <w:tcPr>
            <w:tcW w:w="0" w:type="auto"/>
          </w:tcPr>
          <w:p w14:paraId="24DCB56B" w14:textId="77777777" w:rsidR="000D1D20" w:rsidRDefault="000D1D20" w:rsidP="00FF5CBF">
            <w:pPr>
              <w:pStyle w:val="ListBullet0"/>
              <w:numPr>
                <w:ilvl w:val="0"/>
                <w:numId w:val="48"/>
              </w:numPr>
              <w:spacing w:beforeLines="40" w:before="96" w:afterLines="40" w:after="96" w:line="240" w:lineRule="auto"/>
            </w:pPr>
            <w:r>
              <w:t>Completed CHRMAP</w:t>
            </w:r>
          </w:p>
        </w:tc>
        <w:tc>
          <w:tcPr>
            <w:tcW w:w="0" w:type="auto"/>
          </w:tcPr>
          <w:p w14:paraId="422882E4" w14:textId="77777777" w:rsidR="000D1D20" w:rsidRDefault="000D1D20" w:rsidP="00FF5CBF">
            <w:pPr>
              <w:pStyle w:val="ListBullet0"/>
              <w:numPr>
                <w:ilvl w:val="0"/>
                <w:numId w:val="48"/>
              </w:numPr>
              <w:spacing w:beforeLines="40" w:before="96" w:afterLines="40" w:after="96" w:line="240" w:lineRule="auto"/>
              <w:jc w:val="left"/>
            </w:pPr>
            <w:r>
              <w:t>$30,000</w:t>
            </w:r>
          </w:p>
        </w:tc>
        <w:tc>
          <w:tcPr>
            <w:tcW w:w="1736" w:type="dxa"/>
          </w:tcPr>
          <w:p w14:paraId="27324770" w14:textId="77777777" w:rsidR="000D1D20" w:rsidRDefault="000D1D20" w:rsidP="00FF5CBF">
            <w:pPr>
              <w:pStyle w:val="ListBullet0"/>
              <w:numPr>
                <w:ilvl w:val="0"/>
                <w:numId w:val="48"/>
              </w:numPr>
              <w:spacing w:beforeLines="40" w:before="96" w:afterLines="40" w:after="96" w:line="240" w:lineRule="auto"/>
            </w:pPr>
            <w:r>
              <w:t>Operational</w:t>
            </w:r>
          </w:p>
        </w:tc>
        <w:tc>
          <w:tcPr>
            <w:tcW w:w="728" w:type="dxa"/>
          </w:tcPr>
          <w:p w14:paraId="4EEB48A9" w14:textId="77777777" w:rsidR="000D1D20" w:rsidRDefault="000D1D20" w:rsidP="001355DB">
            <w:pPr>
              <w:pStyle w:val="TableText"/>
            </w:pPr>
            <w:r>
              <w:t>x</w:t>
            </w:r>
          </w:p>
        </w:tc>
        <w:tc>
          <w:tcPr>
            <w:tcW w:w="0" w:type="auto"/>
          </w:tcPr>
          <w:p w14:paraId="334F6558" w14:textId="77777777" w:rsidR="000D1D20" w:rsidRDefault="000D1D20" w:rsidP="001355DB">
            <w:pPr>
              <w:pStyle w:val="TableText"/>
            </w:pPr>
            <w:r>
              <w:t>x</w:t>
            </w:r>
          </w:p>
        </w:tc>
        <w:tc>
          <w:tcPr>
            <w:tcW w:w="0" w:type="auto"/>
          </w:tcPr>
          <w:p w14:paraId="07EFB4AB" w14:textId="77777777" w:rsidR="000D1D20" w:rsidRDefault="000D1D20" w:rsidP="001355DB">
            <w:pPr>
              <w:pStyle w:val="TableText"/>
            </w:pPr>
          </w:p>
        </w:tc>
        <w:tc>
          <w:tcPr>
            <w:tcW w:w="0" w:type="auto"/>
          </w:tcPr>
          <w:p w14:paraId="11F2B37B" w14:textId="77777777" w:rsidR="000D1D20" w:rsidRDefault="000D1D20" w:rsidP="001355DB">
            <w:pPr>
              <w:pStyle w:val="TableText"/>
            </w:pPr>
          </w:p>
        </w:tc>
      </w:tr>
      <w:tr w:rsidR="000D1D20" w14:paraId="72477A53" w14:textId="77777777" w:rsidTr="001355DB">
        <w:tc>
          <w:tcPr>
            <w:tcW w:w="0" w:type="auto"/>
            <w:vAlign w:val="center"/>
          </w:tcPr>
          <w:p w14:paraId="65F8E904" w14:textId="77777777" w:rsidR="000D1D20" w:rsidRDefault="000D1D20" w:rsidP="001355DB">
            <w:pPr>
              <w:pStyle w:val="TableText"/>
            </w:pPr>
            <w:r w:rsidRPr="000856DF">
              <w:t>Monitoring (NR1)</w:t>
            </w:r>
          </w:p>
        </w:tc>
        <w:tc>
          <w:tcPr>
            <w:tcW w:w="0" w:type="auto"/>
            <w:vAlign w:val="center"/>
          </w:tcPr>
          <w:p w14:paraId="19101E70" w14:textId="77777777" w:rsidR="000D1D20" w:rsidRDefault="000D1D20" w:rsidP="00FF5CBF">
            <w:pPr>
              <w:pStyle w:val="ListBullet0"/>
              <w:numPr>
                <w:ilvl w:val="0"/>
                <w:numId w:val="48"/>
              </w:numPr>
              <w:spacing w:beforeLines="40" w:before="96" w:afterLines="40" w:after="96" w:line="240" w:lineRule="auto"/>
            </w:pPr>
            <w:r>
              <w:t>Beach survey for storm behaviour and to track HSD and inundation levels</w:t>
            </w:r>
          </w:p>
          <w:p w14:paraId="1A6C7C51" w14:textId="77777777" w:rsidR="000D1D20" w:rsidRDefault="000D1D20" w:rsidP="00FF5CBF">
            <w:pPr>
              <w:pStyle w:val="ListBullet0"/>
              <w:numPr>
                <w:ilvl w:val="0"/>
                <w:numId w:val="48"/>
              </w:numPr>
              <w:spacing w:beforeLines="40" w:before="96" w:afterLines="40" w:after="96" w:line="240" w:lineRule="auto"/>
            </w:pPr>
            <w:r>
              <w:t>Routine beach profiles every six months</w:t>
            </w:r>
          </w:p>
        </w:tc>
        <w:tc>
          <w:tcPr>
            <w:tcW w:w="0" w:type="auto"/>
          </w:tcPr>
          <w:p w14:paraId="4EE9E9CB" w14:textId="77777777" w:rsidR="000D1D20" w:rsidRDefault="000D1D20" w:rsidP="00FF5CBF">
            <w:pPr>
              <w:pStyle w:val="ListBullet0"/>
              <w:numPr>
                <w:ilvl w:val="0"/>
                <w:numId w:val="48"/>
              </w:numPr>
              <w:spacing w:beforeLines="40" w:before="96" w:afterLines="40" w:after="96" w:line="240" w:lineRule="auto"/>
            </w:pPr>
            <w:r>
              <w:t>LGA</w:t>
            </w:r>
          </w:p>
          <w:p w14:paraId="7EBAFDB0" w14:textId="77777777" w:rsidR="000D1D20" w:rsidRDefault="000D1D20" w:rsidP="00FF5CBF">
            <w:pPr>
              <w:pStyle w:val="ListBullet0"/>
              <w:numPr>
                <w:ilvl w:val="0"/>
                <w:numId w:val="48"/>
              </w:numPr>
              <w:spacing w:beforeLines="40" w:before="96" w:afterLines="40" w:after="96" w:line="240" w:lineRule="auto"/>
            </w:pPr>
            <w:r>
              <w:t>Can seek support and assistance from DoT</w:t>
            </w:r>
          </w:p>
        </w:tc>
        <w:tc>
          <w:tcPr>
            <w:tcW w:w="0" w:type="auto"/>
          </w:tcPr>
          <w:p w14:paraId="66A34D2F" w14:textId="77777777" w:rsidR="000D1D20" w:rsidRDefault="000D1D20" w:rsidP="00FF5CBF">
            <w:pPr>
              <w:pStyle w:val="ListBullet0"/>
              <w:numPr>
                <w:ilvl w:val="0"/>
                <w:numId w:val="48"/>
              </w:numPr>
              <w:spacing w:beforeLines="40" w:before="96" w:afterLines="40" w:after="96" w:line="240" w:lineRule="auto"/>
            </w:pPr>
            <w:r>
              <w:t>Completed CHRMAP</w:t>
            </w:r>
          </w:p>
          <w:p w14:paraId="21D4F4D8" w14:textId="77777777" w:rsidR="000D1D20" w:rsidRDefault="000D1D20" w:rsidP="00FF5CBF">
            <w:pPr>
              <w:pStyle w:val="ListBullet0"/>
              <w:numPr>
                <w:ilvl w:val="0"/>
                <w:numId w:val="48"/>
              </w:numPr>
              <w:spacing w:beforeLines="40" w:before="96" w:afterLines="40" w:after="96" w:line="240" w:lineRule="auto"/>
            </w:pPr>
            <w:r>
              <w:t>Severe storm event(s)</w:t>
            </w:r>
          </w:p>
        </w:tc>
        <w:tc>
          <w:tcPr>
            <w:tcW w:w="0" w:type="auto"/>
          </w:tcPr>
          <w:p w14:paraId="01C1C41C" w14:textId="77777777" w:rsidR="000D1D20" w:rsidRDefault="000D1D20" w:rsidP="00FF5CBF">
            <w:pPr>
              <w:pStyle w:val="ListBullet0"/>
              <w:numPr>
                <w:ilvl w:val="0"/>
                <w:numId w:val="48"/>
              </w:numPr>
              <w:spacing w:beforeLines="40" w:before="96" w:afterLines="40" w:after="96" w:line="240" w:lineRule="auto"/>
              <w:jc w:val="left"/>
            </w:pPr>
            <w:r>
              <w:t>$7,500 annually</w:t>
            </w:r>
          </w:p>
        </w:tc>
        <w:tc>
          <w:tcPr>
            <w:tcW w:w="1736" w:type="dxa"/>
          </w:tcPr>
          <w:p w14:paraId="018D1E26" w14:textId="77777777" w:rsidR="000D1D20" w:rsidRDefault="000D1D20" w:rsidP="00FF5CBF">
            <w:pPr>
              <w:pStyle w:val="ListBullet0"/>
              <w:numPr>
                <w:ilvl w:val="0"/>
                <w:numId w:val="48"/>
              </w:numPr>
              <w:spacing w:beforeLines="40" w:before="96" w:afterLines="40" w:after="96" w:line="240" w:lineRule="auto"/>
            </w:pPr>
            <w:r>
              <w:t>Operational</w:t>
            </w:r>
          </w:p>
          <w:p w14:paraId="1DCA3F39" w14:textId="77777777" w:rsidR="000D1D20" w:rsidRDefault="000D1D20" w:rsidP="00FF5CBF">
            <w:pPr>
              <w:pStyle w:val="ListBullet0"/>
              <w:numPr>
                <w:ilvl w:val="0"/>
                <w:numId w:val="48"/>
              </w:numPr>
              <w:spacing w:beforeLines="40" w:before="96" w:afterLines="40" w:after="96" w:line="240" w:lineRule="auto"/>
            </w:pPr>
            <w:r>
              <w:t>Grants (e.g. CAP)</w:t>
            </w:r>
          </w:p>
        </w:tc>
        <w:tc>
          <w:tcPr>
            <w:tcW w:w="728" w:type="dxa"/>
          </w:tcPr>
          <w:p w14:paraId="72E826A5" w14:textId="77777777" w:rsidR="000D1D20" w:rsidRDefault="000D1D20" w:rsidP="001355DB">
            <w:pPr>
              <w:pStyle w:val="TableText"/>
            </w:pPr>
            <w:r>
              <w:t>x</w:t>
            </w:r>
          </w:p>
        </w:tc>
        <w:tc>
          <w:tcPr>
            <w:tcW w:w="0" w:type="auto"/>
          </w:tcPr>
          <w:p w14:paraId="4F1F76CC" w14:textId="77777777" w:rsidR="000D1D20" w:rsidRDefault="000D1D20" w:rsidP="001355DB">
            <w:pPr>
              <w:pStyle w:val="TableText"/>
            </w:pPr>
            <w:r>
              <w:t>x</w:t>
            </w:r>
          </w:p>
        </w:tc>
        <w:tc>
          <w:tcPr>
            <w:tcW w:w="0" w:type="auto"/>
          </w:tcPr>
          <w:p w14:paraId="051D5318" w14:textId="77777777" w:rsidR="000D1D20" w:rsidRDefault="000D1D20" w:rsidP="001355DB">
            <w:pPr>
              <w:pStyle w:val="TableText"/>
            </w:pPr>
            <w:r>
              <w:t>x</w:t>
            </w:r>
          </w:p>
        </w:tc>
        <w:tc>
          <w:tcPr>
            <w:tcW w:w="0" w:type="auto"/>
          </w:tcPr>
          <w:p w14:paraId="5109712C" w14:textId="77777777" w:rsidR="000D1D20" w:rsidRDefault="000D1D20" w:rsidP="001355DB">
            <w:pPr>
              <w:pStyle w:val="TableText"/>
            </w:pPr>
            <w:r>
              <w:t>x</w:t>
            </w:r>
          </w:p>
        </w:tc>
      </w:tr>
      <w:tr w:rsidR="000D1D20" w14:paraId="37E26083" w14:textId="77777777" w:rsidTr="001355DB">
        <w:tc>
          <w:tcPr>
            <w:tcW w:w="0" w:type="auto"/>
            <w:vAlign w:val="center"/>
          </w:tcPr>
          <w:p w14:paraId="3B2CBE16" w14:textId="77777777" w:rsidR="000D1D20" w:rsidRDefault="000D1D20" w:rsidP="001355DB">
            <w:pPr>
              <w:pStyle w:val="TableText"/>
            </w:pPr>
            <w:r w:rsidRPr="000856DF">
              <w:t>Notification on title (NR3)</w:t>
            </w:r>
          </w:p>
        </w:tc>
        <w:tc>
          <w:tcPr>
            <w:tcW w:w="0" w:type="auto"/>
            <w:vAlign w:val="center"/>
          </w:tcPr>
          <w:p w14:paraId="3E851641" w14:textId="77777777" w:rsidR="000D1D20" w:rsidRDefault="000D1D20" w:rsidP="00FF5CBF">
            <w:pPr>
              <w:pStyle w:val="ListBullet0"/>
              <w:numPr>
                <w:ilvl w:val="0"/>
                <w:numId w:val="48"/>
              </w:numPr>
              <w:spacing w:beforeLines="40" w:before="96" w:afterLines="40" w:after="96" w:line="240" w:lineRule="auto"/>
            </w:pPr>
            <w:r>
              <w:t>Item cost for investigations and implementation plans</w:t>
            </w:r>
          </w:p>
        </w:tc>
        <w:tc>
          <w:tcPr>
            <w:tcW w:w="0" w:type="auto"/>
          </w:tcPr>
          <w:p w14:paraId="12B3814D" w14:textId="77777777" w:rsidR="000D1D20" w:rsidRDefault="000D1D20" w:rsidP="00FF5CBF">
            <w:pPr>
              <w:pStyle w:val="ListBullet0"/>
              <w:numPr>
                <w:ilvl w:val="0"/>
                <w:numId w:val="48"/>
              </w:numPr>
              <w:spacing w:beforeLines="40" w:before="96" w:afterLines="40" w:after="96" w:line="240" w:lineRule="auto"/>
            </w:pPr>
            <w:r>
              <w:t>LGA</w:t>
            </w:r>
          </w:p>
          <w:p w14:paraId="0B74179B" w14:textId="77777777" w:rsidR="000D1D20" w:rsidRDefault="000D1D20" w:rsidP="00FF5CBF">
            <w:pPr>
              <w:pStyle w:val="ListBullet0"/>
              <w:numPr>
                <w:ilvl w:val="0"/>
                <w:numId w:val="48"/>
              </w:numPr>
              <w:spacing w:beforeLines="40" w:before="96" w:afterLines="40" w:after="96" w:line="240" w:lineRule="auto"/>
            </w:pPr>
            <w:r>
              <w:t>Can seek support and assistance from DPLH, WALGA</w:t>
            </w:r>
          </w:p>
        </w:tc>
        <w:tc>
          <w:tcPr>
            <w:tcW w:w="0" w:type="auto"/>
          </w:tcPr>
          <w:p w14:paraId="7FBA445C" w14:textId="77777777" w:rsidR="000D1D20" w:rsidRDefault="000D1D20" w:rsidP="00FF5CBF">
            <w:pPr>
              <w:pStyle w:val="ListBullet0"/>
              <w:numPr>
                <w:ilvl w:val="0"/>
                <w:numId w:val="48"/>
              </w:numPr>
              <w:spacing w:beforeLines="40" w:before="96" w:afterLines="40" w:after="96" w:line="240" w:lineRule="auto"/>
            </w:pPr>
            <w:r>
              <w:t>Completed CHRMAP</w:t>
            </w:r>
          </w:p>
        </w:tc>
        <w:tc>
          <w:tcPr>
            <w:tcW w:w="0" w:type="auto"/>
          </w:tcPr>
          <w:p w14:paraId="27DD8053" w14:textId="77777777" w:rsidR="000D1D20" w:rsidRDefault="000D1D20" w:rsidP="00FF5CBF">
            <w:pPr>
              <w:pStyle w:val="ListBullet0"/>
              <w:numPr>
                <w:ilvl w:val="0"/>
                <w:numId w:val="48"/>
              </w:numPr>
              <w:spacing w:beforeLines="40" w:before="96" w:afterLines="40" w:after="96" w:line="240" w:lineRule="auto"/>
              <w:jc w:val="left"/>
            </w:pPr>
            <w:r>
              <w:t>$50,000</w:t>
            </w:r>
          </w:p>
          <w:p w14:paraId="7790B037" w14:textId="77777777" w:rsidR="000D1D20" w:rsidRDefault="000D1D20" w:rsidP="00FF5CBF">
            <w:pPr>
              <w:pStyle w:val="ListBullet0"/>
              <w:numPr>
                <w:ilvl w:val="0"/>
                <w:numId w:val="48"/>
              </w:numPr>
              <w:spacing w:beforeLines="40" w:before="96" w:afterLines="40" w:after="96" w:line="240" w:lineRule="auto"/>
              <w:jc w:val="left"/>
            </w:pPr>
            <w:r>
              <w:t>(Plus 1% annual maintenance of $500)</w:t>
            </w:r>
          </w:p>
        </w:tc>
        <w:tc>
          <w:tcPr>
            <w:tcW w:w="1736" w:type="dxa"/>
          </w:tcPr>
          <w:p w14:paraId="04C51370" w14:textId="77777777" w:rsidR="000D1D20" w:rsidRDefault="000D1D20" w:rsidP="00FF5CBF">
            <w:pPr>
              <w:pStyle w:val="ListBullet0"/>
              <w:numPr>
                <w:ilvl w:val="0"/>
                <w:numId w:val="48"/>
              </w:numPr>
              <w:spacing w:beforeLines="40" w:before="96" w:afterLines="40" w:after="96" w:line="240" w:lineRule="auto"/>
            </w:pPr>
            <w:r>
              <w:t>Operational</w:t>
            </w:r>
          </w:p>
          <w:p w14:paraId="17876111" w14:textId="77777777" w:rsidR="000D1D20" w:rsidRDefault="000D1D20" w:rsidP="00FF5CBF">
            <w:pPr>
              <w:pStyle w:val="ListBullet0"/>
              <w:numPr>
                <w:ilvl w:val="0"/>
                <w:numId w:val="48"/>
              </w:numPr>
              <w:spacing w:beforeLines="40" w:before="96" w:afterLines="40" w:after="96" w:line="240" w:lineRule="auto"/>
            </w:pPr>
            <w:r>
              <w:t>Grants (e.g. CMPAP)</w:t>
            </w:r>
          </w:p>
        </w:tc>
        <w:tc>
          <w:tcPr>
            <w:tcW w:w="728" w:type="dxa"/>
          </w:tcPr>
          <w:p w14:paraId="3FA3978D" w14:textId="77777777" w:rsidR="000D1D20" w:rsidRDefault="000D1D20" w:rsidP="001355DB">
            <w:pPr>
              <w:pStyle w:val="TableText"/>
            </w:pPr>
            <w:r>
              <w:t>x</w:t>
            </w:r>
          </w:p>
        </w:tc>
        <w:tc>
          <w:tcPr>
            <w:tcW w:w="0" w:type="auto"/>
          </w:tcPr>
          <w:p w14:paraId="01F9D5EA" w14:textId="77777777" w:rsidR="000D1D20" w:rsidRDefault="000D1D20" w:rsidP="001355DB">
            <w:pPr>
              <w:pStyle w:val="TableText"/>
            </w:pPr>
            <w:r>
              <w:t>x</w:t>
            </w:r>
          </w:p>
        </w:tc>
        <w:tc>
          <w:tcPr>
            <w:tcW w:w="0" w:type="auto"/>
          </w:tcPr>
          <w:p w14:paraId="689035BE" w14:textId="77777777" w:rsidR="000D1D20" w:rsidRDefault="000D1D20" w:rsidP="001355DB">
            <w:pPr>
              <w:pStyle w:val="TableText"/>
            </w:pPr>
          </w:p>
        </w:tc>
        <w:tc>
          <w:tcPr>
            <w:tcW w:w="0" w:type="auto"/>
          </w:tcPr>
          <w:p w14:paraId="7F6A9BA7" w14:textId="77777777" w:rsidR="000D1D20" w:rsidRDefault="000D1D20" w:rsidP="001355DB">
            <w:pPr>
              <w:pStyle w:val="TableText"/>
            </w:pPr>
          </w:p>
        </w:tc>
      </w:tr>
      <w:tr w:rsidR="000D1D20" w14:paraId="5CB7E324" w14:textId="77777777" w:rsidTr="001355DB">
        <w:tc>
          <w:tcPr>
            <w:tcW w:w="0" w:type="auto"/>
            <w:vAlign w:val="center"/>
          </w:tcPr>
          <w:p w14:paraId="029D4B66" w14:textId="77777777" w:rsidR="000D1D20" w:rsidRPr="00BB41B2" w:rsidRDefault="000D1D20" w:rsidP="001355DB">
            <w:pPr>
              <w:pStyle w:val="TableText"/>
            </w:pPr>
            <w:r w:rsidRPr="00BB41B2">
              <w:t>Protection Structure Audit (NR2)</w:t>
            </w:r>
          </w:p>
        </w:tc>
        <w:tc>
          <w:tcPr>
            <w:tcW w:w="0" w:type="auto"/>
            <w:vAlign w:val="center"/>
          </w:tcPr>
          <w:p w14:paraId="6762384E" w14:textId="77777777" w:rsidR="000D1D20" w:rsidRPr="00BB41B2" w:rsidRDefault="000D1D20" w:rsidP="00FF5CBF">
            <w:pPr>
              <w:pStyle w:val="ListBullet0"/>
              <w:numPr>
                <w:ilvl w:val="0"/>
                <w:numId w:val="48"/>
              </w:numPr>
              <w:spacing w:beforeLines="40" w:before="96" w:afterLines="40" w:after="96" w:line="240" w:lineRule="auto"/>
            </w:pPr>
            <w:r>
              <w:t>Item cost to inspect coastal asset condition, influence on sediment transport and inundation and remaining design life on all coastal management structures</w:t>
            </w:r>
          </w:p>
          <w:p w14:paraId="3E1707A4" w14:textId="77777777" w:rsidR="000D1D20" w:rsidRPr="00BB41B2" w:rsidRDefault="000D1D20" w:rsidP="00FF5CBF">
            <w:pPr>
              <w:pStyle w:val="ListBullet0"/>
              <w:numPr>
                <w:ilvl w:val="0"/>
                <w:numId w:val="48"/>
              </w:numPr>
              <w:spacing w:beforeLines="40" w:before="96" w:afterLines="40" w:after="96" w:line="240" w:lineRule="auto"/>
            </w:pPr>
            <w:r>
              <w:t>Includes Camp Quaranup revetment</w:t>
            </w:r>
          </w:p>
        </w:tc>
        <w:tc>
          <w:tcPr>
            <w:tcW w:w="0" w:type="auto"/>
          </w:tcPr>
          <w:p w14:paraId="148D005D" w14:textId="77777777" w:rsidR="000D1D20" w:rsidRDefault="000D1D20" w:rsidP="00FF5CBF">
            <w:pPr>
              <w:pStyle w:val="ListBullet0"/>
              <w:numPr>
                <w:ilvl w:val="0"/>
                <w:numId w:val="48"/>
              </w:numPr>
              <w:spacing w:beforeLines="40" w:before="96" w:afterLines="40" w:after="96" w:line="240" w:lineRule="auto"/>
            </w:pPr>
            <w:r>
              <w:t>LGA</w:t>
            </w:r>
          </w:p>
        </w:tc>
        <w:tc>
          <w:tcPr>
            <w:tcW w:w="0" w:type="auto"/>
          </w:tcPr>
          <w:p w14:paraId="0053A4D7" w14:textId="77777777" w:rsidR="000D1D20" w:rsidRDefault="000D1D20" w:rsidP="00FF5CBF">
            <w:pPr>
              <w:pStyle w:val="ListBullet0"/>
              <w:numPr>
                <w:ilvl w:val="0"/>
                <w:numId w:val="48"/>
              </w:numPr>
              <w:spacing w:beforeLines="40" w:before="96" w:afterLines="40" w:after="96" w:line="240" w:lineRule="auto"/>
            </w:pPr>
            <w:r>
              <w:t>Completed CHRMAP</w:t>
            </w:r>
          </w:p>
        </w:tc>
        <w:tc>
          <w:tcPr>
            <w:tcW w:w="0" w:type="auto"/>
          </w:tcPr>
          <w:p w14:paraId="23E7704C" w14:textId="77777777" w:rsidR="000D1D20" w:rsidRDefault="000D1D20" w:rsidP="00FF5CBF">
            <w:pPr>
              <w:pStyle w:val="ListBullet0"/>
              <w:numPr>
                <w:ilvl w:val="0"/>
                <w:numId w:val="48"/>
              </w:numPr>
              <w:spacing w:beforeLines="40" w:before="96" w:afterLines="40" w:after="96" w:line="240" w:lineRule="auto"/>
              <w:jc w:val="left"/>
            </w:pPr>
            <w:r>
              <w:t>$15,000</w:t>
            </w:r>
          </w:p>
          <w:p w14:paraId="00CBE330" w14:textId="77777777" w:rsidR="000D1D20" w:rsidRDefault="000D1D20" w:rsidP="00FF5CBF">
            <w:pPr>
              <w:pStyle w:val="ListBullet0"/>
              <w:numPr>
                <w:ilvl w:val="0"/>
                <w:numId w:val="48"/>
              </w:numPr>
              <w:spacing w:beforeLines="40" w:before="96" w:afterLines="40" w:after="96" w:line="240" w:lineRule="auto"/>
              <w:jc w:val="left"/>
            </w:pPr>
            <w:r>
              <w:t>(Plus 2% annual maintenance of $150)</w:t>
            </w:r>
          </w:p>
        </w:tc>
        <w:tc>
          <w:tcPr>
            <w:tcW w:w="1736" w:type="dxa"/>
          </w:tcPr>
          <w:p w14:paraId="28D7668E" w14:textId="77777777" w:rsidR="000D1D20" w:rsidRDefault="000D1D20" w:rsidP="00FF5CBF">
            <w:pPr>
              <w:pStyle w:val="ListBullet0"/>
              <w:numPr>
                <w:ilvl w:val="0"/>
                <w:numId w:val="48"/>
              </w:numPr>
              <w:spacing w:beforeLines="40" w:before="96" w:afterLines="40" w:after="96" w:line="240" w:lineRule="auto"/>
            </w:pPr>
            <w:r>
              <w:t>Operational</w:t>
            </w:r>
          </w:p>
          <w:p w14:paraId="6A861F50" w14:textId="77777777" w:rsidR="000D1D20" w:rsidRDefault="000D1D20" w:rsidP="00FF5CBF">
            <w:pPr>
              <w:pStyle w:val="ListBullet0"/>
              <w:numPr>
                <w:ilvl w:val="0"/>
                <w:numId w:val="48"/>
              </w:numPr>
              <w:spacing w:beforeLines="40" w:before="96" w:afterLines="40" w:after="96" w:line="240" w:lineRule="auto"/>
            </w:pPr>
            <w:r>
              <w:t>Grants (e.g. CAP)</w:t>
            </w:r>
          </w:p>
        </w:tc>
        <w:tc>
          <w:tcPr>
            <w:tcW w:w="728" w:type="dxa"/>
          </w:tcPr>
          <w:p w14:paraId="366C4194" w14:textId="77777777" w:rsidR="000D1D20" w:rsidRDefault="000D1D20" w:rsidP="001355DB">
            <w:pPr>
              <w:pStyle w:val="TableText"/>
            </w:pPr>
          </w:p>
        </w:tc>
        <w:tc>
          <w:tcPr>
            <w:tcW w:w="0" w:type="auto"/>
          </w:tcPr>
          <w:p w14:paraId="721C9026" w14:textId="77777777" w:rsidR="000D1D20" w:rsidRDefault="000D1D20" w:rsidP="001355DB">
            <w:pPr>
              <w:pStyle w:val="TableText"/>
            </w:pPr>
            <w:r>
              <w:t>x</w:t>
            </w:r>
          </w:p>
        </w:tc>
        <w:tc>
          <w:tcPr>
            <w:tcW w:w="0" w:type="auto"/>
          </w:tcPr>
          <w:p w14:paraId="4CD2E349" w14:textId="77777777" w:rsidR="000D1D20" w:rsidRDefault="000D1D20" w:rsidP="001355DB">
            <w:pPr>
              <w:pStyle w:val="TableText"/>
            </w:pPr>
            <w:r>
              <w:t>x</w:t>
            </w:r>
          </w:p>
        </w:tc>
        <w:tc>
          <w:tcPr>
            <w:tcW w:w="0" w:type="auto"/>
          </w:tcPr>
          <w:p w14:paraId="51664D7F" w14:textId="77777777" w:rsidR="000D1D20" w:rsidRDefault="000D1D20" w:rsidP="001355DB">
            <w:pPr>
              <w:pStyle w:val="TableText"/>
            </w:pPr>
          </w:p>
        </w:tc>
      </w:tr>
      <w:tr w:rsidR="000D1D20" w14:paraId="0DA9665C" w14:textId="77777777" w:rsidTr="001355DB">
        <w:tc>
          <w:tcPr>
            <w:tcW w:w="0" w:type="auto"/>
            <w:vAlign w:val="center"/>
          </w:tcPr>
          <w:p w14:paraId="1591CC66" w14:textId="77777777" w:rsidR="000D1D20" w:rsidRDefault="000D1D20" w:rsidP="001355DB">
            <w:pPr>
              <w:pStyle w:val="TableText"/>
            </w:pPr>
            <w:r w:rsidRPr="000856DF">
              <w:t>Emergency evacuation plans (NR4)</w:t>
            </w:r>
          </w:p>
        </w:tc>
        <w:tc>
          <w:tcPr>
            <w:tcW w:w="0" w:type="auto"/>
            <w:vAlign w:val="center"/>
          </w:tcPr>
          <w:p w14:paraId="155B2340" w14:textId="77777777" w:rsidR="000D1D20" w:rsidRDefault="000D1D20" w:rsidP="00FF5CBF">
            <w:pPr>
              <w:pStyle w:val="ListBullet0"/>
              <w:numPr>
                <w:ilvl w:val="0"/>
                <w:numId w:val="48"/>
              </w:numPr>
              <w:spacing w:beforeLines="40" w:before="96" w:afterLines="40" w:after="96" w:line="240" w:lineRule="auto"/>
            </w:pPr>
            <w:r>
              <w:t>Item cost for investigations and evacuation plans</w:t>
            </w:r>
          </w:p>
        </w:tc>
        <w:tc>
          <w:tcPr>
            <w:tcW w:w="0" w:type="auto"/>
          </w:tcPr>
          <w:p w14:paraId="6463F895" w14:textId="77777777" w:rsidR="000D1D20" w:rsidRDefault="000D1D20" w:rsidP="00FF5CBF">
            <w:pPr>
              <w:pStyle w:val="ListBullet0"/>
              <w:numPr>
                <w:ilvl w:val="0"/>
                <w:numId w:val="48"/>
              </w:numPr>
              <w:spacing w:beforeLines="40" w:before="96" w:afterLines="40" w:after="96" w:line="240" w:lineRule="auto"/>
            </w:pPr>
            <w:r>
              <w:t>LGA</w:t>
            </w:r>
          </w:p>
        </w:tc>
        <w:tc>
          <w:tcPr>
            <w:tcW w:w="0" w:type="auto"/>
          </w:tcPr>
          <w:p w14:paraId="6A445E05" w14:textId="77777777" w:rsidR="000D1D20" w:rsidRDefault="000D1D20" w:rsidP="00FF5CBF">
            <w:pPr>
              <w:pStyle w:val="ListBullet0"/>
              <w:numPr>
                <w:ilvl w:val="0"/>
                <w:numId w:val="48"/>
              </w:numPr>
              <w:spacing w:beforeLines="40" w:before="96" w:afterLines="40" w:after="96" w:line="240" w:lineRule="auto"/>
            </w:pPr>
            <w:r>
              <w:t>Completed CHRMAP</w:t>
            </w:r>
          </w:p>
        </w:tc>
        <w:tc>
          <w:tcPr>
            <w:tcW w:w="0" w:type="auto"/>
          </w:tcPr>
          <w:p w14:paraId="5BD7C340" w14:textId="77777777" w:rsidR="000D1D20" w:rsidRDefault="000D1D20" w:rsidP="00FF5CBF">
            <w:pPr>
              <w:pStyle w:val="ListBullet0"/>
              <w:numPr>
                <w:ilvl w:val="0"/>
                <w:numId w:val="48"/>
              </w:numPr>
              <w:spacing w:beforeLines="40" w:before="96" w:afterLines="40" w:after="96" w:line="240" w:lineRule="auto"/>
              <w:jc w:val="left"/>
            </w:pPr>
            <w:r>
              <w:t>$10,000</w:t>
            </w:r>
          </w:p>
          <w:p w14:paraId="7F6A5B7E" w14:textId="77777777" w:rsidR="000D1D20" w:rsidRDefault="000D1D20" w:rsidP="00FF5CBF">
            <w:pPr>
              <w:pStyle w:val="ListBullet0"/>
              <w:numPr>
                <w:ilvl w:val="0"/>
                <w:numId w:val="48"/>
              </w:numPr>
              <w:spacing w:beforeLines="40" w:before="96" w:afterLines="40" w:after="96" w:line="240" w:lineRule="auto"/>
              <w:jc w:val="left"/>
            </w:pPr>
            <w:r>
              <w:t>(Plus 1% annual maintenance of $100)</w:t>
            </w:r>
          </w:p>
        </w:tc>
        <w:tc>
          <w:tcPr>
            <w:tcW w:w="1736" w:type="dxa"/>
          </w:tcPr>
          <w:p w14:paraId="2E44EA89" w14:textId="77777777" w:rsidR="000D1D20" w:rsidRDefault="000D1D20" w:rsidP="00FF5CBF">
            <w:pPr>
              <w:pStyle w:val="ListBullet0"/>
              <w:numPr>
                <w:ilvl w:val="0"/>
                <w:numId w:val="48"/>
              </w:numPr>
              <w:spacing w:beforeLines="40" w:before="96" w:afterLines="40" w:after="96" w:line="240" w:lineRule="auto"/>
            </w:pPr>
            <w:r>
              <w:t>Operational</w:t>
            </w:r>
          </w:p>
          <w:p w14:paraId="24E643B1" w14:textId="77777777" w:rsidR="000D1D20" w:rsidRDefault="000D1D20" w:rsidP="00FF5CBF">
            <w:pPr>
              <w:pStyle w:val="ListBullet0"/>
              <w:numPr>
                <w:ilvl w:val="0"/>
                <w:numId w:val="48"/>
              </w:numPr>
              <w:spacing w:beforeLines="40" w:before="96" w:afterLines="40" w:after="96" w:line="240" w:lineRule="auto"/>
            </w:pPr>
            <w:r>
              <w:t>Grants (e.g. DRF)</w:t>
            </w:r>
          </w:p>
        </w:tc>
        <w:tc>
          <w:tcPr>
            <w:tcW w:w="728" w:type="dxa"/>
          </w:tcPr>
          <w:p w14:paraId="30BFA070" w14:textId="77777777" w:rsidR="000D1D20" w:rsidRDefault="000D1D20" w:rsidP="001355DB">
            <w:pPr>
              <w:pStyle w:val="TableText"/>
            </w:pPr>
            <w:r>
              <w:t>x</w:t>
            </w:r>
          </w:p>
        </w:tc>
        <w:tc>
          <w:tcPr>
            <w:tcW w:w="0" w:type="auto"/>
          </w:tcPr>
          <w:p w14:paraId="427AB8F0" w14:textId="77777777" w:rsidR="000D1D20" w:rsidRDefault="000D1D20" w:rsidP="001355DB">
            <w:pPr>
              <w:pStyle w:val="TableText"/>
            </w:pPr>
            <w:r>
              <w:t>x</w:t>
            </w:r>
          </w:p>
        </w:tc>
        <w:tc>
          <w:tcPr>
            <w:tcW w:w="0" w:type="auto"/>
          </w:tcPr>
          <w:p w14:paraId="79159744" w14:textId="77777777" w:rsidR="000D1D20" w:rsidRDefault="000D1D20" w:rsidP="001355DB">
            <w:pPr>
              <w:pStyle w:val="TableText"/>
            </w:pPr>
          </w:p>
        </w:tc>
        <w:tc>
          <w:tcPr>
            <w:tcW w:w="0" w:type="auto"/>
          </w:tcPr>
          <w:p w14:paraId="4C5901DD" w14:textId="77777777" w:rsidR="000D1D20" w:rsidRDefault="000D1D20" w:rsidP="001355DB">
            <w:pPr>
              <w:pStyle w:val="TableText"/>
            </w:pPr>
          </w:p>
        </w:tc>
      </w:tr>
      <w:tr w:rsidR="000D1D20" w14:paraId="64BBAEED" w14:textId="77777777" w:rsidTr="001355DB">
        <w:tc>
          <w:tcPr>
            <w:tcW w:w="0" w:type="auto"/>
            <w:vAlign w:val="center"/>
          </w:tcPr>
          <w:p w14:paraId="36C8A08E" w14:textId="77777777" w:rsidR="000D1D20" w:rsidRDefault="000D1D20" w:rsidP="001355DB">
            <w:pPr>
              <w:pStyle w:val="TableText"/>
            </w:pPr>
            <w:r w:rsidRPr="000856DF">
              <w:t>Demolition / removal / relocation of asset from inside hazard area (PMR2)</w:t>
            </w:r>
          </w:p>
        </w:tc>
        <w:tc>
          <w:tcPr>
            <w:tcW w:w="0" w:type="auto"/>
            <w:vAlign w:val="center"/>
          </w:tcPr>
          <w:p w14:paraId="49C425DA" w14:textId="77777777" w:rsidR="000D1D20" w:rsidRDefault="000D1D20" w:rsidP="00FF5CBF">
            <w:pPr>
              <w:pStyle w:val="ListBullet0"/>
              <w:numPr>
                <w:ilvl w:val="0"/>
                <w:numId w:val="48"/>
              </w:numPr>
              <w:spacing w:beforeLines="40" w:before="96" w:afterLines="40" w:after="96" w:line="240" w:lineRule="auto"/>
            </w:pPr>
            <w:r>
              <w:t xml:space="preserve">Allows for removal / relocation of shed at Camp Quaranup </w:t>
            </w:r>
          </w:p>
          <w:p w14:paraId="04ECF3DE" w14:textId="77777777" w:rsidR="000D1D20" w:rsidRDefault="000D1D20" w:rsidP="00FF5CBF">
            <w:pPr>
              <w:pStyle w:val="ListBullet0"/>
              <w:numPr>
                <w:ilvl w:val="0"/>
                <w:numId w:val="48"/>
              </w:numPr>
              <w:spacing w:beforeLines="40" w:before="96" w:afterLines="40" w:after="96" w:line="240" w:lineRule="auto"/>
            </w:pPr>
            <w:r>
              <w:t>Maintenance assumes ongoing allowance for foreshore reserve</w:t>
            </w:r>
          </w:p>
          <w:p w14:paraId="11542CB2" w14:textId="77777777" w:rsidR="000D1D20" w:rsidRDefault="000D1D20" w:rsidP="00FF5CBF">
            <w:pPr>
              <w:pStyle w:val="ListBullet0"/>
              <w:numPr>
                <w:ilvl w:val="0"/>
                <w:numId w:val="48"/>
              </w:numPr>
              <w:spacing w:beforeLines="40" w:before="96" w:afterLines="40" w:after="96" w:line="240" w:lineRule="auto"/>
            </w:pPr>
            <w:r>
              <w:t>No other built public assets at risk</w:t>
            </w:r>
          </w:p>
        </w:tc>
        <w:tc>
          <w:tcPr>
            <w:tcW w:w="0" w:type="auto"/>
          </w:tcPr>
          <w:p w14:paraId="6543601C" w14:textId="77777777" w:rsidR="000D1D20" w:rsidRDefault="000D1D20" w:rsidP="00FF5CBF">
            <w:pPr>
              <w:pStyle w:val="ListBullet0"/>
              <w:numPr>
                <w:ilvl w:val="0"/>
                <w:numId w:val="48"/>
              </w:numPr>
              <w:spacing w:beforeLines="40" w:before="96" w:afterLines="40" w:after="96" w:line="240" w:lineRule="auto"/>
            </w:pPr>
            <w:r>
              <w:t>LGA</w:t>
            </w:r>
          </w:p>
        </w:tc>
        <w:tc>
          <w:tcPr>
            <w:tcW w:w="0" w:type="auto"/>
          </w:tcPr>
          <w:p w14:paraId="64CAFBE5" w14:textId="77777777" w:rsidR="000D1D20" w:rsidRDefault="000D1D20" w:rsidP="00FF5CBF">
            <w:pPr>
              <w:pStyle w:val="ListBullet0"/>
              <w:numPr>
                <w:ilvl w:val="0"/>
                <w:numId w:val="48"/>
              </w:numPr>
              <w:spacing w:beforeLines="40" w:before="96" w:afterLines="40" w:after="96" w:line="240" w:lineRule="auto"/>
            </w:pPr>
            <w:r>
              <w:t>Monitoring</w:t>
            </w:r>
          </w:p>
        </w:tc>
        <w:tc>
          <w:tcPr>
            <w:tcW w:w="0" w:type="auto"/>
          </w:tcPr>
          <w:p w14:paraId="5A2E6558" w14:textId="77777777" w:rsidR="000D1D20" w:rsidRPr="00BB41B2" w:rsidRDefault="000D1D20" w:rsidP="00FF5CBF">
            <w:pPr>
              <w:pStyle w:val="ListBullet0"/>
              <w:numPr>
                <w:ilvl w:val="0"/>
                <w:numId w:val="48"/>
              </w:numPr>
              <w:spacing w:beforeLines="40" w:before="96" w:afterLines="40" w:after="96" w:line="240" w:lineRule="auto"/>
              <w:jc w:val="left"/>
            </w:pPr>
            <w:r>
              <w:t>$82,000</w:t>
            </w:r>
          </w:p>
          <w:p w14:paraId="40F2C30D" w14:textId="77777777" w:rsidR="000D1D20" w:rsidRDefault="000D1D20" w:rsidP="00FF5CBF">
            <w:pPr>
              <w:pStyle w:val="ListBullet0"/>
              <w:numPr>
                <w:ilvl w:val="0"/>
                <w:numId w:val="48"/>
              </w:numPr>
              <w:spacing w:beforeLines="40" w:before="96" w:afterLines="40" w:after="96" w:line="240" w:lineRule="auto"/>
              <w:jc w:val="left"/>
            </w:pPr>
            <w:r>
              <w:t>(Plus 1% annual maintenance of $820)</w:t>
            </w:r>
          </w:p>
        </w:tc>
        <w:tc>
          <w:tcPr>
            <w:tcW w:w="1736" w:type="dxa"/>
          </w:tcPr>
          <w:p w14:paraId="3C319AA5" w14:textId="77777777" w:rsidR="000D1D20" w:rsidRDefault="000D1D20" w:rsidP="00FF5CBF">
            <w:pPr>
              <w:pStyle w:val="ListBullet0"/>
              <w:numPr>
                <w:ilvl w:val="0"/>
                <w:numId w:val="48"/>
              </w:numPr>
              <w:spacing w:beforeLines="40" w:before="96" w:afterLines="40" w:after="96" w:line="240" w:lineRule="auto"/>
            </w:pPr>
            <w:r>
              <w:t>Operational</w:t>
            </w:r>
          </w:p>
          <w:p w14:paraId="56068C60" w14:textId="77777777" w:rsidR="000D1D20" w:rsidRDefault="000D1D20" w:rsidP="00FF5CBF">
            <w:pPr>
              <w:pStyle w:val="ListBullet0"/>
              <w:numPr>
                <w:ilvl w:val="0"/>
                <w:numId w:val="48"/>
              </w:numPr>
              <w:spacing w:beforeLines="40" w:before="96" w:afterLines="40" w:after="96" w:line="240" w:lineRule="auto"/>
            </w:pPr>
            <w:r>
              <w:t>Grants</w:t>
            </w:r>
          </w:p>
        </w:tc>
        <w:tc>
          <w:tcPr>
            <w:tcW w:w="728" w:type="dxa"/>
          </w:tcPr>
          <w:p w14:paraId="54440FF2" w14:textId="77777777" w:rsidR="000D1D20" w:rsidRDefault="000D1D20" w:rsidP="001355DB">
            <w:pPr>
              <w:pStyle w:val="TableText"/>
            </w:pPr>
            <w:r>
              <w:t>x</w:t>
            </w:r>
          </w:p>
        </w:tc>
        <w:tc>
          <w:tcPr>
            <w:tcW w:w="0" w:type="auto"/>
          </w:tcPr>
          <w:p w14:paraId="5224A548" w14:textId="77777777" w:rsidR="000D1D20" w:rsidRDefault="000D1D20" w:rsidP="001355DB">
            <w:pPr>
              <w:pStyle w:val="TableText"/>
            </w:pPr>
            <w:r>
              <w:t>x</w:t>
            </w:r>
          </w:p>
        </w:tc>
        <w:tc>
          <w:tcPr>
            <w:tcW w:w="0" w:type="auto"/>
          </w:tcPr>
          <w:p w14:paraId="62E5AA59" w14:textId="77777777" w:rsidR="000D1D20" w:rsidRDefault="000D1D20" w:rsidP="001355DB">
            <w:pPr>
              <w:pStyle w:val="TableText"/>
            </w:pPr>
            <w:r>
              <w:t>x</w:t>
            </w:r>
          </w:p>
        </w:tc>
        <w:tc>
          <w:tcPr>
            <w:tcW w:w="0" w:type="auto"/>
          </w:tcPr>
          <w:p w14:paraId="1FC50774" w14:textId="77777777" w:rsidR="000D1D20" w:rsidRDefault="000D1D20" w:rsidP="001355DB">
            <w:pPr>
              <w:pStyle w:val="TableText"/>
            </w:pPr>
          </w:p>
        </w:tc>
      </w:tr>
      <w:tr w:rsidR="000D1D20" w14:paraId="6E9A6065" w14:textId="77777777" w:rsidTr="001355DB">
        <w:tc>
          <w:tcPr>
            <w:tcW w:w="0" w:type="auto"/>
            <w:vAlign w:val="center"/>
          </w:tcPr>
          <w:p w14:paraId="0F32A65F" w14:textId="77777777" w:rsidR="000D1D20" w:rsidRDefault="000D1D20" w:rsidP="001355DB">
            <w:pPr>
              <w:pStyle w:val="TableText"/>
            </w:pPr>
            <w:r w:rsidRPr="000856DF">
              <w:lastRenderedPageBreak/>
              <w:t>Prevention of further development / prohibit expansion of existing use rights (PMR3)</w:t>
            </w:r>
          </w:p>
        </w:tc>
        <w:tc>
          <w:tcPr>
            <w:tcW w:w="0" w:type="auto"/>
            <w:vAlign w:val="center"/>
          </w:tcPr>
          <w:p w14:paraId="2525500C" w14:textId="77777777" w:rsidR="000D1D20" w:rsidRDefault="000D1D20" w:rsidP="00FF5CBF">
            <w:pPr>
              <w:pStyle w:val="ListBullet0"/>
              <w:numPr>
                <w:ilvl w:val="0"/>
                <w:numId w:val="48"/>
              </w:numPr>
              <w:spacing w:beforeLines="40" w:before="96" w:afterLines="40" w:after="96" w:line="240" w:lineRule="auto"/>
            </w:pPr>
            <w:r>
              <w:t>Item cost for investigations and management plans</w:t>
            </w:r>
          </w:p>
          <w:p w14:paraId="237CA56B" w14:textId="77777777" w:rsidR="000D1D20" w:rsidRDefault="000D1D20" w:rsidP="00FF5CBF">
            <w:pPr>
              <w:pStyle w:val="ListBullet0"/>
              <w:numPr>
                <w:ilvl w:val="0"/>
                <w:numId w:val="48"/>
              </w:numPr>
              <w:spacing w:beforeLines="40" w:before="96" w:afterLines="40" w:after="96" w:line="240" w:lineRule="auto"/>
            </w:pPr>
            <w:r>
              <w:t>Investigate opportunities for leaseback of land and land swaps in the context of planned and managed retreat. Seek legal advice regarding the basis of agreements with landholders and whether opt-ins can be time constrained</w:t>
            </w:r>
          </w:p>
        </w:tc>
        <w:tc>
          <w:tcPr>
            <w:tcW w:w="0" w:type="auto"/>
          </w:tcPr>
          <w:p w14:paraId="7FE2B12A" w14:textId="77777777" w:rsidR="000D1D20" w:rsidRDefault="000D1D20" w:rsidP="00FF5CBF">
            <w:pPr>
              <w:pStyle w:val="ListBullet0"/>
              <w:numPr>
                <w:ilvl w:val="0"/>
                <w:numId w:val="48"/>
              </w:numPr>
              <w:spacing w:beforeLines="40" w:before="96" w:afterLines="40" w:after="96" w:line="240" w:lineRule="auto"/>
            </w:pPr>
            <w:r>
              <w:t>LGA</w:t>
            </w:r>
          </w:p>
        </w:tc>
        <w:tc>
          <w:tcPr>
            <w:tcW w:w="0" w:type="auto"/>
          </w:tcPr>
          <w:p w14:paraId="36B39A69" w14:textId="77777777" w:rsidR="000D1D20" w:rsidRDefault="000D1D20" w:rsidP="00FF5CBF">
            <w:pPr>
              <w:pStyle w:val="ListBullet0"/>
              <w:numPr>
                <w:ilvl w:val="0"/>
                <w:numId w:val="48"/>
              </w:numPr>
              <w:spacing w:beforeLines="40" w:before="96" w:afterLines="40" w:after="96" w:line="240" w:lineRule="auto"/>
            </w:pPr>
            <w:r>
              <w:t>Completed CHRMAP</w:t>
            </w:r>
          </w:p>
        </w:tc>
        <w:tc>
          <w:tcPr>
            <w:tcW w:w="0" w:type="auto"/>
          </w:tcPr>
          <w:p w14:paraId="23377541" w14:textId="77777777" w:rsidR="000D1D20" w:rsidRDefault="000D1D20" w:rsidP="00FF5CBF">
            <w:pPr>
              <w:pStyle w:val="ListBullet0"/>
              <w:numPr>
                <w:ilvl w:val="0"/>
                <w:numId w:val="48"/>
              </w:numPr>
              <w:spacing w:beforeLines="40" w:before="96" w:afterLines="40" w:after="96" w:line="240" w:lineRule="auto"/>
              <w:jc w:val="left"/>
            </w:pPr>
            <w:r>
              <w:t>$20,000</w:t>
            </w:r>
          </w:p>
          <w:p w14:paraId="219A008D" w14:textId="77777777" w:rsidR="000D1D20" w:rsidRDefault="000D1D20" w:rsidP="00FF5CBF">
            <w:pPr>
              <w:pStyle w:val="ListBullet0"/>
              <w:numPr>
                <w:ilvl w:val="0"/>
                <w:numId w:val="48"/>
              </w:numPr>
              <w:spacing w:beforeLines="40" w:before="96" w:afterLines="40" w:after="96" w:line="240" w:lineRule="auto"/>
              <w:jc w:val="left"/>
            </w:pPr>
            <w:r>
              <w:t>(Plus 1% annual maintenance of $200)</w:t>
            </w:r>
          </w:p>
        </w:tc>
        <w:tc>
          <w:tcPr>
            <w:tcW w:w="1736" w:type="dxa"/>
          </w:tcPr>
          <w:p w14:paraId="2C13F512" w14:textId="77777777" w:rsidR="000D1D20" w:rsidRDefault="000D1D20" w:rsidP="00FF5CBF">
            <w:pPr>
              <w:pStyle w:val="ListBullet0"/>
              <w:numPr>
                <w:ilvl w:val="0"/>
                <w:numId w:val="48"/>
              </w:numPr>
              <w:spacing w:beforeLines="40" w:before="96" w:afterLines="40" w:after="96" w:line="240" w:lineRule="auto"/>
            </w:pPr>
            <w:r>
              <w:t>Operational</w:t>
            </w:r>
          </w:p>
          <w:p w14:paraId="14AD70D5" w14:textId="77777777" w:rsidR="000D1D20" w:rsidRDefault="000D1D20" w:rsidP="00FF5CBF">
            <w:pPr>
              <w:pStyle w:val="ListBullet0"/>
              <w:numPr>
                <w:ilvl w:val="0"/>
                <w:numId w:val="48"/>
              </w:numPr>
              <w:spacing w:beforeLines="40" w:before="96" w:afterLines="40" w:after="96" w:line="240" w:lineRule="auto"/>
            </w:pPr>
            <w:r>
              <w:t>Grants (e.g. CMPAP)</w:t>
            </w:r>
          </w:p>
        </w:tc>
        <w:tc>
          <w:tcPr>
            <w:tcW w:w="728" w:type="dxa"/>
          </w:tcPr>
          <w:p w14:paraId="5CCE652F" w14:textId="77777777" w:rsidR="000D1D20" w:rsidRDefault="000D1D20" w:rsidP="001355DB">
            <w:pPr>
              <w:pStyle w:val="TableText"/>
            </w:pPr>
            <w:r>
              <w:t>x</w:t>
            </w:r>
          </w:p>
        </w:tc>
        <w:tc>
          <w:tcPr>
            <w:tcW w:w="0" w:type="auto"/>
          </w:tcPr>
          <w:p w14:paraId="750C92B0" w14:textId="77777777" w:rsidR="000D1D20" w:rsidRDefault="000D1D20" w:rsidP="001355DB">
            <w:pPr>
              <w:pStyle w:val="TableText"/>
            </w:pPr>
            <w:r>
              <w:t>x</w:t>
            </w:r>
          </w:p>
        </w:tc>
        <w:tc>
          <w:tcPr>
            <w:tcW w:w="0" w:type="auto"/>
          </w:tcPr>
          <w:p w14:paraId="7E64693D" w14:textId="77777777" w:rsidR="000D1D20" w:rsidRDefault="000D1D20" w:rsidP="001355DB">
            <w:pPr>
              <w:pStyle w:val="TableText"/>
            </w:pPr>
          </w:p>
        </w:tc>
        <w:tc>
          <w:tcPr>
            <w:tcW w:w="0" w:type="auto"/>
          </w:tcPr>
          <w:p w14:paraId="6D263A60" w14:textId="77777777" w:rsidR="000D1D20" w:rsidRDefault="000D1D20" w:rsidP="001355DB">
            <w:pPr>
              <w:pStyle w:val="TableText"/>
            </w:pPr>
          </w:p>
        </w:tc>
      </w:tr>
      <w:tr w:rsidR="000D1D20" w14:paraId="64143A05" w14:textId="77777777" w:rsidTr="001355DB">
        <w:tc>
          <w:tcPr>
            <w:tcW w:w="0" w:type="auto"/>
            <w:vAlign w:val="center"/>
          </w:tcPr>
          <w:p w14:paraId="3370F5B5" w14:textId="77777777" w:rsidR="000D1D20" w:rsidRDefault="000D1D20" w:rsidP="001355DB">
            <w:pPr>
              <w:pStyle w:val="TableText"/>
            </w:pPr>
            <w:r w:rsidRPr="000856DF">
              <w:t>Design assets to withstand impacts (AC1)</w:t>
            </w:r>
          </w:p>
        </w:tc>
        <w:tc>
          <w:tcPr>
            <w:tcW w:w="0" w:type="auto"/>
            <w:vAlign w:val="center"/>
          </w:tcPr>
          <w:p w14:paraId="0F8EF3B4" w14:textId="77777777" w:rsidR="000D1D20" w:rsidRDefault="000D1D20" w:rsidP="00FF5CBF">
            <w:pPr>
              <w:pStyle w:val="ListBullet0"/>
              <w:numPr>
                <w:ilvl w:val="0"/>
                <w:numId w:val="47"/>
              </w:numPr>
              <w:spacing w:beforeLines="40" w:before="96" w:afterLines="40" w:after="96" w:line="240" w:lineRule="auto"/>
            </w:pPr>
            <w:r>
              <w:t>Item cost for investigations and management plans – primarily any case-by-case work needed for public assets</w:t>
            </w:r>
          </w:p>
        </w:tc>
        <w:tc>
          <w:tcPr>
            <w:tcW w:w="0" w:type="auto"/>
          </w:tcPr>
          <w:p w14:paraId="7A27F6C9" w14:textId="77777777" w:rsidR="000D1D20" w:rsidRDefault="000D1D20" w:rsidP="00FF5CBF">
            <w:pPr>
              <w:pStyle w:val="ListBullet0"/>
              <w:numPr>
                <w:ilvl w:val="0"/>
                <w:numId w:val="47"/>
              </w:numPr>
              <w:spacing w:beforeLines="40" w:before="96" w:afterLines="40" w:after="96" w:line="240" w:lineRule="auto"/>
            </w:pPr>
            <w:r>
              <w:t>LGA</w:t>
            </w:r>
          </w:p>
        </w:tc>
        <w:tc>
          <w:tcPr>
            <w:tcW w:w="0" w:type="auto"/>
          </w:tcPr>
          <w:p w14:paraId="6A337846" w14:textId="77777777" w:rsidR="000D1D20" w:rsidRDefault="000D1D20" w:rsidP="00FF5CBF">
            <w:pPr>
              <w:pStyle w:val="ListBullet0"/>
              <w:numPr>
                <w:ilvl w:val="0"/>
                <w:numId w:val="47"/>
              </w:numPr>
              <w:spacing w:beforeLines="40" w:before="96" w:afterLines="40" w:after="96" w:line="240" w:lineRule="auto"/>
            </w:pPr>
            <w:r>
              <w:t>Completed CHRMAP</w:t>
            </w:r>
          </w:p>
        </w:tc>
        <w:tc>
          <w:tcPr>
            <w:tcW w:w="0" w:type="auto"/>
          </w:tcPr>
          <w:p w14:paraId="539A0DFD" w14:textId="77777777" w:rsidR="000D1D20" w:rsidRDefault="000D1D20" w:rsidP="00FF5CBF">
            <w:pPr>
              <w:pStyle w:val="ListBullet0"/>
              <w:numPr>
                <w:ilvl w:val="0"/>
                <w:numId w:val="47"/>
              </w:numPr>
              <w:spacing w:beforeLines="40" w:before="96" w:afterLines="40" w:after="96" w:line="240" w:lineRule="auto"/>
              <w:jc w:val="left"/>
            </w:pPr>
            <w:r>
              <w:t>$30,000</w:t>
            </w:r>
          </w:p>
          <w:p w14:paraId="581786B7" w14:textId="77777777" w:rsidR="000D1D20" w:rsidRDefault="000D1D20" w:rsidP="00FF5CBF">
            <w:pPr>
              <w:pStyle w:val="ListBullet0"/>
              <w:numPr>
                <w:ilvl w:val="0"/>
                <w:numId w:val="47"/>
              </w:numPr>
              <w:spacing w:beforeLines="40" w:before="96" w:afterLines="40" w:after="96" w:line="240" w:lineRule="auto"/>
              <w:jc w:val="left"/>
            </w:pPr>
            <w:r>
              <w:t>(Plus 1% annual maintenance of $300)</w:t>
            </w:r>
          </w:p>
        </w:tc>
        <w:tc>
          <w:tcPr>
            <w:tcW w:w="1736" w:type="dxa"/>
          </w:tcPr>
          <w:p w14:paraId="1997F239" w14:textId="77777777" w:rsidR="000D1D20" w:rsidRDefault="000D1D20" w:rsidP="00FF5CBF">
            <w:pPr>
              <w:pStyle w:val="ListBullet0"/>
              <w:numPr>
                <w:ilvl w:val="0"/>
                <w:numId w:val="47"/>
              </w:numPr>
              <w:spacing w:beforeLines="40" w:before="96" w:afterLines="40" w:after="96" w:line="240" w:lineRule="auto"/>
            </w:pPr>
            <w:r>
              <w:t>Operational</w:t>
            </w:r>
          </w:p>
          <w:p w14:paraId="75344314" w14:textId="77777777" w:rsidR="000D1D20" w:rsidRDefault="000D1D20" w:rsidP="00FF5CBF">
            <w:pPr>
              <w:pStyle w:val="ListBullet0"/>
              <w:numPr>
                <w:ilvl w:val="0"/>
                <w:numId w:val="47"/>
              </w:numPr>
              <w:spacing w:beforeLines="40" w:before="96" w:afterLines="40" w:after="96" w:line="240" w:lineRule="auto"/>
            </w:pPr>
            <w:r>
              <w:t>Grants</w:t>
            </w:r>
          </w:p>
        </w:tc>
        <w:tc>
          <w:tcPr>
            <w:tcW w:w="728" w:type="dxa"/>
          </w:tcPr>
          <w:p w14:paraId="70FE5651" w14:textId="77777777" w:rsidR="000D1D20" w:rsidRDefault="000D1D20" w:rsidP="001355DB">
            <w:pPr>
              <w:pStyle w:val="TableText"/>
            </w:pPr>
            <w:r>
              <w:t>x</w:t>
            </w:r>
          </w:p>
        </w:tc>
        <w:tc>
          <w:tcPr>
            <w:tcW w:w="0" w:type="auto"/>
          </w:tcPr>
          <w:p w14:paraId="68424B99" w14:textId="77777777" w:rsidR="000D1D20" w:rsidRDefault="000D1D20" w:rsidP="001355DB">
            <w:pPr>
              <w:pStyle w:val="TableText"/>
            </w:pPr>
            <w:r>
              <w:t>x</w:t>
            </w:r>
          </w:p>
        </w:tc>
        <w:tc>
          <w:tcPr>
            <w:tcW w:w="0" w:type="auto"/>
          </w:tcPr>
          <w:p w14:paraId="525B1542" w14:textId="77777777" w:rsidR="000D1D20" w:rsidRDefault="000D1D20" w:rsidP="001355DB">
            <w:pPr>
              <w:pStyle w:val="TableText"/>
            </w:pPr>
          </w:p>
        </w:tc>
        <w:tc>
          <w:tcPr>
            <w:tcW w:w="0" w:type="auto"/>
          </w:tcPr>
          <w:p w14:paraId="0B4B554E" w14:textId="77777777" w:rsidR="000D1D20" w:rsidRDefault="000D1D20" w:rsidP="001355DB">
            <w:pPr>
              <w:pStyle w:val="TableText"/>
            </w:pPr>
          </w:p>
        </w:tc>
      </w:tr>
      <w:tr w:rsidR="000D1D20" w14:paraId="1D73350D" w14:textId="77777777" w:rsidTr="001355DB">
        <w:tc>
          <w:tcPr>
            <w:tcW w:w="0" w:type="auto"/>
          </w:tcPr>
          <w:p w14:paraId="7702C3DB" w14:textId="77777777" w:rsidR="000D1D20" w:rsidRPr="002C35A2" w:rsidRDefault="000D1D20" w:rsidP="001355DB">
            <w:pPr>
              <w:pStyle w:val="TableText"/>
              <w:rPr>
                <w:b/>
                <w:bCs/>
              </w:rPr>
            </w:pPr>
            <w:r w:rsidRPr="009B3BA2">
              <w:rPr>
                <w:b/>
                <w:bCs/>
              </w:rPr>
              <w:t>Recommended Short-Term Option to address Erosion is to investigate and prepare for Protection with Beach Nourishment (PR1)</w:t>
            </w:r>
          </w:p>
        </w:tc>
        <w:tc>
          <w:tcPr>
            <w:tcW w:w="0" w:type="auto"/>
          </w:tcPr>
          <w:p w14:paraId="402093EE" w14:textId="77777777" w:rsidR="000D1D20" w:rsidRDefault="000D1D20" w:rsidP="00FF5CBF">
            <w:pPr>
              <w:pStyle w:val="ListBullet0"/>
              <w:numPr>
                <w:ilvl w:val="0"/>
                <w:numId w:val="47"/>
              </w:numPr>
              <w:spacing w:beforeLines="40" w:before="96" w:afterLines="40" w:after="96" w:line="240" w:lineRule="auto"/>
            </w:pPr>
            <w:r>
              <w:t>Undertake a detailed Sand Source Feasibility Study (Investigation 1) to confirm assumptions used in the CHRMAP</w:t>
            </w:r>
          </w:p>
          <w:p w14:paraId="3CD7F68A" w14:textId="77777777" w:rsidR="000D1D20" w:rsidRDefault="000D1D20" w:rsidP="00FF5CBF">
            <w:pPr>
              <w:pStyle w:val="ListBullet0"/>
              <w:numPr>
                <w:ilvl w:val="0"/>
                <w:numId w:val="47"/>
              </w:numPr>
              <w:spacing w:beforeLines="40" w:before="96" w:afterLines="40" w:after="96" w:line="240" w:lineRule="auto"/>
            </w:pPr>
            <w:r>
              <w:t>CHRMAP analysis has found that the Protection Pathway is appropriate for this MU with provision of a sandy beach via nourishment</w:t>
            </w:r>
          </w:p>
          <w:p w14:paraId="4419E73F" w14:textId="77777777" w:rsidR="000D1D20" w:rsidRDefault="000D1D20" w:rsidP="00FF5CBF">
            <w:pPr>
              <w:pStyle w:val="ListBullet0"/>
              <w:numPr>
                <w:ilvl w:val="0"/>
                <w:numId w:val="47"/>
              </w:numPr>
              <w:spacing w:beforeLines="40" w:before="96" w:afterLines="40" w:after="96" w:line="240" w:lineRule="auto"/>
            </w:pPr>
            <w:r>
              <w:t>Currently the option assumes the following:</w:t>
            </w:r>
          </w:p>
          <w:p w14:paraId="30C930EE" w14:textId="77777777" w:rsidR="000D1D20" w:rsidRDefault="000D1D20" w:rsidP="00FF5CBF">
            <w:pPr>
              <w:pStyle w:val="ListBullet0"/>
              <w:numPr>
                <w:ilvl w:val="0"/>
                <w:numId w:val="47"/>
              </w:numPr>
              <w:spacing w:beforeLines="40" w:before="96" w:afterLines="40" w:after="96" w:line="240" w:lineRule="auto"/>
            </w:pPr>
            <w:r>
              <w:t xml:space="preserve">Protection of Camp Quaranup is currently provided by various structures which while maintained are likely to continue to provide adequate protection for the short-term. </w:t>
            </w:r>
          </w:p>
          <w:p w14:paraId="3166FA85" w14:textId="77777777" w:rsidR="000D1D20" w:rsidRDefault="000D1D20" w:rsidP="00FF5CBF">
            <w:pPr>
              <w:pStyle w:val="ListBullet0"/>
              <w:numPr>
                <w:ilvl w:val="0"/>
                <w:numId w:val="47"/>
              </w:numPr>
              <w:spacing w:beforeLines="40" w:before="96" w:afterLines="40" w:after="96" w:line="240" w:lineRule="auto"/>
            </w:pPr>
            <w:r>
              <w:t>Assumes treatment of 750m beach and 150m of Camp Quaranup shoreline with 2047 implementation</w:t>
            </w:r>
          </w:p>
          <w:p w14:paraId="56A594E9" w14:textId="77777777" w:rsidR="000D1D20" w:rsidRDefault="000D1D20" w:rsidP="00FF5CBF">
            <w:pPr>
              <w:pStyle w:val="ListBullet0"/>
              <w:numPr>
                <w:ilvl w:val="0"/>
                <w:numId w:val="47"/>
              </w:numPr>
              <w:spacing w:beforeLines="40" w:before="96" w:afterLines="40" w:after="96" w:line="240" w:lineRule="auto"/>
            </w:pPr>
            <w:r>
              <w:t>Assumes suitable sand source available (grain size, volume, cleanliness, proximity)</w:t>
            </w:r>
          </w:p>
        </w:tc>
        <w:tc>
          <w:tcPr>
            <w:tcW w:w="0" w:type="auto"/>
          </w:tcPr>
          <w:p w14:paraId="294E8B42" w14:textId="77777777" w:rsidR="000D1D20" w:rsidRDefault="000D1D20" w:rsidP="00FF5CBF">
            <w:pPr>
              <w:pStyle w:val="ListBullet0"/>
              <w:numPr>
                <w:ilvl w:val="0"/>
                <w:numId w:val="47"/>
              </w:numPr>
              <w:spacing w:beforeLines="40" w:before="96" w:afterLines="40" w:after="96" w:line="240" w:lineRule="auto"/>
            </w:pPr>
            <w:r>
              <w:t>LGA</w:t>
            </w:r>
          </w:p>
        </w:tc>
        <w:tc>
          <w:tcPr>
            <w:tcW w:w="0" w:type="auto"/>
          </w:tcPr>
          <w:p w14:paraId="454129EF" w14:textId="77777777" w:rsidR="000D1D20" w:rsidRDefault="000D1D20" w:rsidP="00FF5CBF">
            <w:pPr>
              <w:pStyle w:val="ListBullet0"/>
              <w:numPr>
                <w:ilvl w:val="0"/>
                <w:numId w:val="47"/>
              </w:numPr>
              <w:spacing w:beforeLines="40" w:before="96" w:afterLines="40" w:after="96" w:line="240" w:lineRule="auto"/>
            </w:pPr>
            <w:r>
              <w:t>Completed CHRMAP</w:t>
            </w:r>
          </w:p>
          <w:p w14:paraId="6FF2902F" w14:textId="77777777" w:rsidR="000D1D20" w:rsidRDefault="000D1D20" w:rsidP="00FF5CBF">
            <w:pPr>
              <w:pStyle w:val="ListBullet0"/>
              <w:numPr>
                <w:ilvl w:val="0"/>
                <w:numId w:val="47"/>
              </w:numPr>
              <w:spacing w:beforeLines="40" w:before="96" w:afterLines="40" w:after="96" w:line="240" w:lineRule="auto"/>
            </w:pPr>
            <w:r>
              <w:t>Monitoring</w:t>
            </w:r>
          </w:p>
          <w:p w14:paraId="47925D86" w14:textId="77777777" w:rsidR="000D1D20" w:rsidRDefault="000D1D20" w:rsidP="00FF5CBF">
            <w:pPr>
              <w:pStyle w:val="ListBullet0"/>
              <w:numPr>
                <w:ilvl w:val="0"/>
                <w:numId w:val="47"/>
              </w:numPr>
              <w:spacing w:beforeLines="40" w:before="96" w:afterLines="40" w:after="96" w:line="240" w:lineRule="auto"/>
            </w:pPr>
            <w:r>
              <w:t>Confirmation of design, costs and funding</w:t>
            </w:r>
          </w:p>
        </w:tc>
        <w:tc>
          <w:tcPr>
            <w:tcW w:w="0" w:type="auto"/>
          </w:tcPr>
          <w:p w14:paraId="551AC0A9" w14:textId="77777777" w:rsidR="000D1D20" w:rsidRPr="000435BB" w:rsidRDefault="000D1D20" w:rsidP="00FF5CBF">
            <w:pPr>
              <w:pStyle w:val="ListBullet0"/>
              <w:numPr>
                <w:ilvl w:val="0"/>
                <w:numId w:val="47"/>
              </w:numPr>
              <w:spacing w:beforeLines="40" w:before="96" w:afterLines="40" w:after="96" w:line="240" w:lineRule="auto"/>
              <w:jc w:val="left"/>
            </w:pPr>
            <w:r>
              <w:t>$2.0M at NPV 4% for a 100-year timeframe</w:t>
            </w:r>
          </w:p>
          <w:p w14:paraId="7E5DEB35" w14:textId="77777777" w:rsidR="000D1D20" w:rsidRDefault="000D1D20" w:rsidP="00FF5CBF">
            <w:pPr>
              <w:pStyle w:val="ListBullet0"/>
              <w:numPr>
                <w:ilvl w:val="0"/>
                <w:numId w:val="47"/>
              </w:numPr>
              <w:spacing w:beforeLines="40" w:before="96" w:afterLines="40" w:after="96" w:line="240" w:lineRule="auto"/>
              <w:jc w:val="left"/>
            </w:pPr>
            <w:r>
              <w:t>Detailed design and costings estimated at $200,000</w:t>
            </w:r>
          </w:p>
        </w:tc>
        <w:tc>
          <w:tcPr>
            <w:tcW w:w="1736" w:type="dxa"/>
          </w:tcPr>
          <w:p w14:paraId="74154BF5" w14:textId="77777777" w:rsidR="000D1D20" w:rsidRDefault="000D1D20" w:rsidP="00FF5CBF">
            <w:pPr>
              <w:pStyle w:val="ListBullet0"/>
              <w:numPr>
                <w:ilvl w:val="0"/>
                <w:numId w:val="47"/>
              </w:numPr>
              <w:spacing w:beforeLines="40" w:before="96" w:afterLines="40" w:after="96" w:line="240" w:lineRule="auto"/>
            </w:pPr>
            <w:r>
              <w:t>Operational</w:t>
            </w:r>
          </w:p>
          <w:p w14:paraId="700FF202" w14:textId="77777777" w:rsidR="000D1D20" w:rsidRDefault="000D1D20" w:rsidP="00FF5CBF">
            <w:pPr>
              <w:pStyle w:val="ListBullet0"/>
              <w:numPr>
                <w:ilvl w:val="0"/>
                <w:numId w:val="47"/>
              </w:numPr>
              <w:spacing w:beforeLines="40" w:before="96" w:afterLines="40" w:after="96" w:line="240" w:lineRule="auto"/>
            </w:pPr>
            <w:r>
              <w:t>Grants (e.g. CAP)</w:t>
            </w:r>
          </w:p>
          <w:p w14:paraId="2EC4283F" w14:textId="77777777" w:rsidR="000D1D20" w:rsidRDefault="000D1D20" w:rsidP="00FF5CBF">
            <w:pPr>
              <w:pStyle w:val="ListBullet0"/>
              <w:numPr>
                <w:ilvl w:val="0"/>
                <w:numId w:val="47"/>
              </w:numPr>
              <w:spacing w:beforeLines="40" w:before="96" w:afterLines="40" w:after="96" w:line="240" w:lineRule="auto"/>
            </w:pPr>
            <w:r>
              <w:t>Direct beneficiaries</w:t>
            </w:r>
          </w:p>
        </w:tc>
        <w:tc>
          <w:tcPr>
            <w:tcW w:w="728" w:type="dxa"/>
          </w:tcPr>
          <w:p w14:paraId="3648B38E" w14:textId="77777777" w:rsidR="000D1D20" w:rsidRDefault="000D1D20" w:rsidP="001355DB">
            <w:pPr>
              <w:pStyle w:val="TableText"/>
            </w:pPr>
            <w:r>
              <w:t>x</w:t>
            </w:r>
          </w:p>
        </w:tc>
        <w:tc>
          <w:tcPr>
            <w:tcW w:w="0" w:type="auto"/>
          </w:tcPr>
          <w:p w14:paraId="1E1D310B" w14:textId="77777777" w:rsidR="000D1D20" w:rsidRDefault="000D1D20" w:rsidP="001355DB">
            <w:pPr>
              <w:pStyle w:val="TableText"/>
            </w:pPr>
            <w:r>
              <w:t>x</w:t>
            </w:r>
          </w:p>
        </w:tc>
        <w:tc>
          <w:tcPr>
            <w:tcW w:w="0" w:type="auto"/>
          </w:tcPr>
          <w:p w14:paraId="60EF4065" w14:textId="77777777" w:rsidR="000D1D20" w:rsidRDefault="000D1D20" w:rsidP="001355DB">
            <w:pPr>
              <w:pStyle w:val="TableText"/>
            </w:pPr>
            <w:r>
              <w:t>x</w:t>
            </w:r>
          </w:p>
        </w:tc>
        <w:tc>
          <w:tcPr>
            <w:tcW w:w="0" w:type="auto"/>
          </w:tcPr>
          <w:p w14:paraId="558654E2" w14:textId="77777777" w:rsidR="000D1D20" w:rsidRDefault="000D1D20" w:rsidP="001355DB">
            <w:pPr>
              <w:pStyle w:val="TableText"/>
            </w:pPr>
          </w:p>
        </w:tc>
      </w:tr>
      <w:tr w:rsidR="000D1D20" w14:paraId="46FE892B" w14:textId="77777777" w:rsidTr="001355DB">
        <w:tc>
          <w:tcPr>
            <w:tcW w:w="0" w:type="auto"/>
          </w:tcPr>
          <w:p w14:paraId="67C6EA1E" w14:textId="77777777" w:rsidR="000D1D20" w:rsidRPr="009B3BA2" w:rsidRDefault="000D1D20" w:rsidP="001355DB">
            <w:pPr>
              <w:pStyle w:val="TableText"/>
              <w:rPr>
                <w:b/>
                <w:bCs/>
              </w:rPr>
            </w:pPr>
            <w:r w:rsidRPr="009B3BA2">
              <w:rPr>
                <w:b/>
                <w:bCs/>
              </w:rPr>
              <w:t xml:space="preserve">Recommended Short-Term Option to address Inundation is </w:t>
            </w:r>
            <w:r w:rsidRPr="005B094D">
              <w:rPr>
                <w:b/>
                <w:bCs/>
              </w:rPr>
              <w:t>Monitoring (NR1)</w:t>
            </w:r>
            <w:r>
              <w:rPr>
                <w:b/>
                <w:bCs/>
              </w:rPr>
              <w:t xml:space="preserve">, </w:t>
            </w:r>
            <w:r w:rsidRPr="005B094D">
              <w:rPr>
                <w:b/>
                <w:bCs/>
              </w:rPr>
              <w:t>Accommodate (AC1) and Emergency Evacuation Plans (NR4)</w:t>
            </w:r>
          </w:p>
        </w:tc>
        <w:tc>
          <w:tcPr>
            <w:tcW w:w="0" w:type="auto"/>
          </w:tcPr>
          <w:p w14:paraId="55107C28" w14:textId="77777777" w:rsidR="000D1D20" w:rsidRDefault="000D1D20" w:rsidP="00FF5CBF">
            <w:pPr>
              <w:pStyle w:val="ListBullet0"/>
              <w:numPr>
                <w:ilvl w:val="0"/>
                <w:numId w:val="47"/>
              </w:numPr>
              <w:spacing w:beforeLines="40" w:before="96" w:afterLines="40" w:after="96" w:line="240" w:lineRule="auto"/>
            </w:pPr>
            <w:r>
              <w:t>There is no projected impact from inundation during the short-term for this MU.</w:t>
            </w:r>
          </w:p>
          <w:p w14:paraId="7477DCA6" w14:textId="1263A973" w:rsidR="000D1D20" w:rsidRDefault="000D1D20" w:rsidP="00FF5CBF">
            <w:pPr>
              <w:pStyle w:val="ListBullet0"/>
              <w:numPr>
                <w:ilvl w:val="0"/>
                <w:numId w:val="47"/>
              </w:numPr>
              <w:spacing w:beforeLines="40" w:before="96" w:afterLines="40" w:after="96" w:line="240" w:lineRule="auto"/>
            </w:pPr>
            <w:r>
              <w:t>Implementation shall focus on Monitoring (NR1</w:t>
            </w:r>
            <w:r w:rsidR="001E6399">
              <w:t>) and</w:t>
            </w:r>
            <w:r>
              <w:t xml:space="preserve"> should an unexpected inundation event occur it can be managed via Accommodate (AC1) and Emergency Evacuation Plans (NR4).</w:t>
            </w:r>
          </w:p>
        </w:tc>
        <w:tc>
          <w:tcPr>
            <w:tcW w:w="0" w:type="auto"/>
          </w:tcPr>
          <w:p w14:paraId="3558CF81" w14:textId="77777777" w:rsidR="000D1D20" w:rsidRDefault="000D1D20" w:rsidP="00FF5CBF">
            <w:pPr>
              <w:pStyle w:val="ListBullet0"/>
              <w:numPr>
                <w:ilvl w:val="0"/>
                <w:numId w:val="47"/>
              </w:numPr>
              <w:spacing w:beforeLines="40" w:before="96" w:afterLines="40" w:after="96" w:line="240" w:lineRule="auto"/>
            </w:pPr>
            <w:r>
              <w:t>LGA</w:t>
            </w:r>
          </w:p>
        </w:tc>
        <w:tc>
          <w:tcPr>
            <w:tcW w:w="0" w:type="auto"/>
          </w:tcPr>
          <w:p w14:paraId="2B1D63CD" w14:textId="77777777" w:rsidR="000D1D20" w:rsidRDefault="000D1D20" w:rsidP="00FF5CBF">
            <w:pPr>
              <w:pStyle w:val="ListBullet0"/>
              <w:numPr>
                <w:ilvl w:val="0"/>
                <w:numId w:val="47"/>
              </w:numPr>
              <w:spacing w:beforeLines="40" w:before="96" w:afterLines="40" w:after="96" w:line="240" w:lineRule="auto"/>
            </w:pPr>
            <w:r>
              <w:t>Monitoring</w:t>
            </w:r>
          </w:p>
          <w:p w14:paraId="218A8472" w14:textId="77777777" w:rsidR="000D1D20" w:rsidRDefault="000D1D20" w:rsidP="00FF5CBF">
            <w:pPr>
              <w:pStyle w:val="ListBullet0"/>
              <w:numPr>
                <w:ilvl w:val="0"/>
                <w:numId w:val="47"/>
              </w:numPr>
              <w:spacing w:beforeLines="40" w:before="96" w:afterLines="40" w:after="96" w:line="240" w:lineRule="auto"/>
            </w:pPr>
            <w:r>
              <w:t>Updated CHRMAP</w:t>
            </w:r>
          </w:p>
        </w:tc>
        <w:tc>
          <w:tcPr>
            <w:tcW w:w="0" w:type="auto"/>
          </w:tcPr>
          <w:p w14:paraId="5A07BC24" w14:textId="77777777" w:rsidR="000D1D20" w:rsidRDefault="000D1D20" w:rsidP="00FF5CBF">
            <w:pPr>
              <w:pStyle w:val="ListBullet0"/>
              <w:numPr>
                <w:ilvl w:val="0"/>
                <w:numId w:val="47"/>
              </w:numPr>
              <w:spacing w:beforeLines="40" w:before="96" w:afterLines="40" w:after="96" w:line="240" w:lineRule="auto"/>
              <w:jc w:val="left"/>
            </w:pPr>
            <w:r>
              <w:t>See other recommended actions for their costs.</w:t>
            </w:r>
          </w:p>
        </w:tc>
        <w:tc>
          <w:tcPr>
            <w:tcW w:w="1736" w:type="dxa"/>
          </w:tcPr>
          <w:p w14:paraId="75C989CA" w14:textId="77777777" w:rsidR="000D1D20" w:rsidRDefault="000D1D20" w:rsidP="00FF5CBF">
            <w:pPr>
              <w:pStyle w:val="ListBullet0"/>
              <w:numPr>
                <w:ilvl w:val="0"/>
                <w:numId w:val="47"/>
              </w:numPr>
              <w:spacing w:beforeLines="40" w:before="96" w:afterLines="40" w:after="96" w:line="240" w:lineRule="auto"/>
            </w:pPr>
            <w:r>
              <w:t>N/A</w:t>
            </w:r>
          </w:p>
        </w:tc>
        <w:tc>
          <w:tcPr>
            <w:tcW w:w="728" w:type="dxa"/>
          </w:tcPr>
          <w:p w14:paraId="4FB80CFB" w14:textId="77777777" w:rsidR="000D1D20" w:rsidRDefault="000D1D20" w:rsidP="001355DB">
            <w:pPr>
              <w:pStyle w:val="TableText"/>
            </w:pPr>
            <w:r>
              <w:t>x</w:t>
            </w:r>
          </w:p>
        </w:tc>
        <w:tc>
          <w:tcPr>
            <w:tcW w:w="0" w:type="auto"/>
          </w:tcPr>
          <w:p w14:paraId="62D6EA19" w14:textId="77777777" w:rsidR="000D1D20" w:rsidRDefault="000D1D20" w:rsidP="001355DB">
            <w:pPr>
              <w:pStyle w:val="TableText"/>
            </w:pPr>
            <w:r>
              <w:t>x</w:t>
            </w:r>
          </w:p>
        </w:tc>
        <w:tc>
          <w:tcPr>
            <w:tcW w:w="0" w:type="auto"/>
          </w:tcPr>
          <w:p w14:paraId="69DFB704" w14:textId="77777777" w:rsidR="000D1D20" w:rsidRDefault="000D1D20" w:rsidP="001355DB">
            <w:pPr>
              <w:pStyle w:val="TableText"/>
            </w:pPr>
            <w:r>
              <w:t>x</w:t>
            </w:r>
          </w:p>
        </w:tc>
        <w:tc>
          <w:tcPr>
            <w:tcW w:w="0" w:type="auto"/>
          </w:tcPr>
          <w:p w14:paraId="467D10E9" w14:textId="77777777" w:rsidR="000D1D20" w:rsidRDefault="000D1D20" w:rsidP="001355DB">
            <w:pPr>
              <w:pStyle w:val="TableText"/>
            </w:pPr>
          </w:p>
        </w:tc>
      </w:tr>
      <w:tr w:rsidR="000D1D20" w14:paraId="3B48B008" w14:textId="77777777" w:rsidTr="001355DB">
        <w:tc>
          <w:tcPr>
            <w:tcW w:w="0" w:type="auto"/>
          </w:tcPr>
          <w:p w14:paraId="2DE11E40" w14:textId="77777777" w:rsidR="000D1D20" w:rsidRDefault="000D1D20" w:rsidP="001355DB">
            <w:pPr>
              <w:pStyle w:val="TableText"/>
            </w:pPr>
            <w:r w:rsidRPr="00BB41B2">
              <w:rPr>
                <w:b/>
                <w:bCs/>
              </w:rPr>
              <w:t>Recommended Medium and Long-term pathway to address Erosion is Protection with Beach Nourishment (PR1)</w:t>
            </w:r>
          </w:p>
        </w:tc>
        <w:tc>
          <w:tcPr>
            <w:tcW w:w="0" w:type="auto"/>
          </w:tcPr>
          <w:p w14:paraId="305238BF" w14:textId="77777777" w:rsidR="000D1D20" w:rsidRDefault="000D1D20" w:rsidP="00FF5CBF">
            <w:pPr>
              <w:pStyle w:val="ListBullet0"/>
              <w:numPr>
                <w:ilvl w:val="0"/>
                <w:numId w:val="47"/>
              </w:numPr>
              <w:spacing w:beforeLines="40" w:before="96" w:afterLines="40" w:after="96" w:line="240" w:lineRule="auto"/>
            </w:pPr>
            <w:r>
              <w:t>Monitoring will determine the need for additional works beyond those recommended in the short-term</w:t>
            </w:r>
          </w:p>
        </w:tc>
        <w:tc>
          <w:tcPr>
            <w:tcW w:w="0" w:type="auto"/>
          </w:tcPr>
          <w:p w14:paraId="5D57B367" w14:textId="77777777" w:rsidR="000D1D20" w:rsidRDefault="000D1D20" w:rsidP="00FF5CBF">
            <w:pPr>
              <w:pStyle w:val="ListBullet0"/>
              <w:numPr>
                <w:ilvl w:val="0"/>
                <w:numId w:val="47"/>
              </w:numPr>
              <w:spacing w:beforeLines="40" w:before="96" w:afterLines="40" w:after="96" w:line="240" w:lineRule="auto"/>
            </w:pPr>
            <w:r>
              <w:t>LGA</w:t>
            </w:r>
          </w:p>
        </w:tc>
        <w:tc>
          <w:tcPr>
            <w:tcW w:w="0" w:type="auto"/>
          </w:tcPr>
          <w:p w14:paraId="088A6338" w14:textId="77777777" w:rsidR="000D1D20" w:rsidRDefault="000D1D20" w:rsidP="00FF5CBF">
            <w:pPr>
              <w:pStyle w:val="ListBullet0"/>
              <w:numPr>
                <w:ilvl w:val="0"/>
                <w:numId w:val="47"/>
              </w:numPr>
              <w:spacing w:beforeLines="40" w:before="96" w:afterLines="40" w:after="96" w:line="240" w:lineRule="auto"/>
            </w:pPr>
            <w:r>
              <w:t>Monitoring</w:t>
            </w:r>
          </w:p>
          <w:p w14:paraId="400D04EE" w14:textId="77777777" w:rsidR="000D1D20" w:rsidRDefault="000D1D20" w:rsidP="00FF5CBF">
            <w:pPr>
              <w:pStyle w:val="ListBullet0"/>
              <w:numPr>
                <w:ilvl w:val="0"/>
                <w:numId w:val="47"/>
              </w:numPr>
              <w:spacing w:beforeLines="40" w:before="96" w:afterLines="40" w:after="96" w:line="240" w:lineRule="auto"/>
            </w:pPr>
            <w:r>
              <w:t>Updated CHRMAP</w:t>
            </w:r>
          </w:p>
        </w:tc>
        <w:tc>
          <w:tcPr>
            <w:tcW w:w="0" w:type="auto"/>
          </w:tcPr>
          <w:p w14:paraId="4E82F108" w14:textId="77777777" w:rsidR="000D1D20" w:rsidRPr="000435BB" w:rsidRDefault="000D1D20" w:rsidP="00FF5CBF">
            <w:pPr>
              <w:pStyle w:val="ListBullet0"/>
              <w:numPr>
                <w:ilvl w:val="0"/>
                <w:numId w:val="47"/>
              </w:numPr>
              <w:spacing w:beforeLines="40" w:before="96" w:afterLines="40" w:after="96" w:line="240" w:lineRule="auto"/>
              <w:jc w:val="left"/>
            </w:pPr>
            <w:r>
              <w:t>$2.0M at NPV 4% for a 100-year timeframe</w:t>
            </w:r>
          </w:p>
          <w:p w14:paraId="1065A031" w14:textId="77777777" w:rsidR="000D1D20" w:rsidRDefault="000D1D20" w:rsidP="00FF5CBF">
            <w:pPr>
              <w:pStyle w:val="ListBullet0"/>
              <w:numPr>
                <w:ilvl w:val="0"/>
                <w:numId w:val="47"/>
              </w:numPr>
              <w:spacing w:beforeLines="40" w:before="96" w:afterLines="40" w:after="96" w:line="240" w:lineRule="auto"/>
              <w:jc w:val="left"/>
            </w:pPr>
            <w:r>
              <w:t>Annual maintenance estimate of approximately $0.15M</w:t>
            </w:r>
          </w:p>
        </w:tc>
        <w:tc>
          <w:tcPr>
            <w:tcW w:w="1736" w:type="dxa"/>
          </w:tcPr>
          <w:p w14:paraId="25BF3AF0" w14:textId="77777777" w:rsidR="000D1D20" w:rsidRDefault="000D1D20" w:rsidP="00FF5CBF">
            <w:pPr>
              <w:pStyle w:val="ListBullet0"/>
              <w:numPr>
                <w:ilvl w:val="0"/>
                <w:numId w:val="47"/>
              </w:numPr>
              <w:spacing w:beforeLines="40" w:before="96" w:afterLines="40" w:after="96" w:line="240" w:lineRule="auto"/>
            </w:pPr>
            <w:r>
              <w:t>Operational</w:t>
            </w:r>
          </w:p>
          <w:p w14:paraId="3444D970" w14:textId="77777777" w:rsidR="000D1D20" w:rsidRDefault="000D1D20" w:rsidP="00FF5CBF">
            <w:pPr>
              <w:pStyle w:val="ListBullet0"/>
              <w:numPr>
                <w:ilvl w:val="0"/>
                <w:numId w:val="47"/>
              </w:numPr>
              <w:spacing w:beforeLines="40" w:before="96" w:afterLines="40" w:after="96" w:line="240" w:lineRule="auto"/>
            </w:pPr>
            <w:r>
              <w:t>Grants (e.g. CAP)</w:t>
            </w:r>
          </w:p>
          <w:p w14:paraId="505665C5" w14:textId="77777777" w:rsidR="000D1D20" w:rsidRDefault="000D1D20" w:rsidP="00FF5CBF">
            <w:pPr>
              <w:pStyle w:val="ListBullet0"/>
              <w:numPr>
                <w:ilvl w:val="0"/>
                <w:numId w:val="47"/>
              </w:numPr>
              <w:spacing w:beforeLines="40" w:before="96" w:afterLines="40" w:after="96" w:line="240" w:lineRule="auto"/>
            </w:pPr>
            <w:r>
              <w:t>Direct beneficiaries</w:t>
            </w:r>
          </w:p>
        </w:tc>
        <w:tc>
          <w:tcPr>
            <w:tcW w:w="728" w:type="dxa"/>
          </w:tcPr>
          <w:p w14:paraId="1D8B065E" w14:textId="77777777" w:rsidR="000D1D20" w:rsidRDefault="000D1D20" w:rsidP="001355DB">
            <w:pPr>
              <w:pStyle w:val="TableText"/>
            </w:pPr>
          </w:p>
        </w:tc>
        <w:tc>
          <w:tcPr>
            <w:tcW w:w="0" w:type="auto"/>
          </w:tcPr>
          <w:p w14:paraId="798008C8" w14:textId="77777777" w:rsidR="000D1D20" w:rsidRDefault="000D1D20" w:rsidP="001355DB">
            <w:pPr>
              <w:pStyle w:val="TableText"/>
            </w:pPr>
          </w:p>
        </w:tc>
        <w:tc>
          <w:tcPr>
            <w:tcW w:w="0" w:type="auto"/>
          </w:tcPr>
          <w:p w14:paraId="3FDDC92E" w14:textId="77777777" w:rsidR="000D1D20" w:rsidRDefault="000D1D20" w:rsidP="001355DB">
            <w:pPr>
              <w:pStyle w:val="TableText"/>
            </w:pPr>
          </w:p>
        </w:tc>
        <w:tc>
          <w:tcPr>
            <w:tcW w:w="0" w:type="auto"/>
          </w:tcPr>
          <w:p w14:paraId="3A7BD289" w14:textId="77777777" w:rsidR="000D1D20" w:rsidRDefault="000D1D20" w:rsidP="001355DB">
            <w:pPr>
              <w:pStyle w:val="TableText"/>
            </w:pPr>
            <w:r>
              <w:t>x</w:t>
            </w:r>
          </w:p>
        </w:tc>
      </w:tr>
      <w:tr w:rsidR="000D1D20" w14:paraId="5EA460A5" w14:textId="77777777" w:rsidTr="001355DB">
        <w:tc>
          <w:tcPr>
            <w:tcW w:w="0" w:type="auto"/>
          </w:tcPr>
          <w:p w14:paraId="6E95E9B6" w14:textId="77777777" w:rsidR="000D1D20" w:rsidRDefault="000D1D20" w:rsidP="001355DB">
            <w:pPr>
              <w:pStyle w:val="TableText"/>
            </w:pPr>
            <w:r w:rsidRPr="00BB41B2">
              <w:rPr>
                <w:b/>
                <w:bCs/>
              </w:rPr>
              <w:t>Recommended Medium and Long-term pathway to address Inundation is a Levee (PR6)</w:t>
            </w:r>
          </w:p>
        </w:tc>
        <w:tc>
          <w:tcPr>
            <w:tcW w:w="0" w:type="auto"/>
          </w:tcPr>
          <w:p w14:paraId="0833DDE9" w14:textId="77777777" w:rsidR="000D1D20" w:rsidRDefault="000D1D20" w:rsidP="00FF5CBF">
            <w:pPr>
              <w:pStyle w:val="ListBullet0"/>
              <w:numPr>
                <w:ilvl w:val="0"/>
                <w:numId w:val="47"/>
              </w:numPr>
              <w:spacing w:beforeLines="40" w:before="96" w:afterLines="40" w:after="96" w:line="240" w:lineRule="auto"/>
            </w:pPr>
            <w:r>
              <w:t>Assumes 300m of levee required around Camp Quaranup and 50m for depression in Isthmus</w:t>
            </w:r>
          </w:p>
          <w:p w14:paraId="48D4F19C" w14:textId="77777777" w:rsidR="000D1D20" w:rsidRDefault="000D1D20" w:rsidP="00FF5CBF">
            <w:pPr>
              <w:pStyle w:val="ListBullet0"/>
              <w:numPr>
                <w:ilvl w:val="0"/>
                <w:numId w:val="47"/>
              </w:numPr>
              <w:spacing w:beforeLines="40" w:before="96" w:afterLines="40" w:after="96" w:line="240" w:lineRule="auto"/>
            </w:pPr>
            <w:r>
              <w:t>Assumes 2072 implementation, so there are no priority actions in short-term</w:t>
            </w:r>
          </w:p>
        </w:tc>
        <w:tc>
          <w:tcPr>
            <w:tcW w:w="0" w:type="auto"/>
          </w:tcPr>
          <w:p w14:paraId="2C45CFD4" w14:textId="77777777" w:rsidR="000D1D20" w:rsidRDefault="000D1D20" w:rsidP="00FF5CBF">
            <w:pPr>
              <w:pStyle w:val="ListBullet0"/>
              <w:numPr>
                <w:ilvl w:val="0"/>
                <w:numId w:val="47"/>
              </w:numPr>
              <w:spacing w:beforeLines="40" w:before="96" w:afterLines="40" w:after="96" w:line="240" w:lineRule="auto"/>
            </w:pPr>
            <w:r>
              <w:t>LGA</w:t>
            </w:r>
          </w:p>
        </w:tc>
        <w:tc>
          <w:tcPr>
            <w:tcW w:w="0" w:type="auto"/>
          </w:tcPr>
          <w:p w14:paraId="0D42CFE9" w14:textId="77777777" w:rsidR="000D1D20" w:rsidRDefault="000D1D20" w:rsidP="00FF5CBF">
            <w:pPr>
              <w:pStyle w:val="ListBullet0"/>
              <w:numPr>
                <w:ilvl w:val="0"/>
                <w:numId w:val="47"/>
              </w:numPr>
              <w:spacing w:beforeLines="40" w:before="96" w:afterLines="40" w:after="96" w:line="240" w:lineRule="auto"/>
            </w:pPr>
            <w:r>
              <w:t>Monitoring</w:t>
            </w:r>
          </w:p>
          <w:p w14:paraId="572ED398" w14:textId="77777777" w:rsidR="000D1D20" w:rsidRDefault="000D1D20" w:rsidP="00FF5CBF">
            <w:pPr>
              <w:pStyle w:val="ListBullet0"/>
              <w:numPr>
                <w:ilvl w:val="0"/>
                <w:numId w:val="47"/>
              </w:numPr>
              <w:spacing w:beforeLines="40" w:before="96" w:afterLines="40" w:after="96" w:line="240" w:lineRule="auto"/>
            </w:pPr>
            <w:r>
              <w:t>Updated CHRMAP</w:t>
            </w:r>
          </w:p>
        </w:tc>
        <w:tc>
          <w:tcPr>
            <w:tcW w:w="0" w:type="auto"/>
          </w:tcPr>
          <w:p w14:paraId="3A783FAB" w14:textId="77777777" w:rsidR="000D1D20" w:rsidRDefault="000D1D20" w:rsidP="00FF5CBF">
            <w:pPr>
              <w:pStyle w:val="ListBullet0"/>
              <w:numPr>
                <w:ilvl w:val="0"/>
                <w:numId w:val="47"/>
              </w:numPr>
              <w:spacing w:beforeLines="40" w:before="96" w:afterLines="40" w:after="96" w:line="240" w:lineRule="auto"/>
              <w:jc w:val="left"/>
            </w:pPr>
            <w:r>
              <w:t>$0.2M at NPV 4%</w:t>
            </w:r>
          </w:p>
          <w:p w14:paraId="322F479B" w14:textId="77777777" w:rsidR="000D1D20" w:rsidRDefault="000D1D20" w:rsidP="00FF5CBF">
            <w:pPr>
              <w:pStyle w:val="ListBullet0"/>
              <w:numPr>
                <w:ilvl w:val="0"/>
                <w:numId w:val="47"/>
              </w:numPr>
              <w:spacing w:beforeLines="40" w:before="96" w:afterLines="40" w:after="96" w:line="240" w:lineRule="auto"/>
              <w:jc w:val="left"/>
            </w:pPr>
            <w:r>
              <w:t>Annual maintenance estimate of approximately $27,000</w:t>
            </w:r>
          </w:p>
        </w:tc>
        <w:tc>
          <w:tcPr>
            <w:tcW w:w="1736" w:type="dxa"/>
          </w:tcPr>
          <w:p w14:paraId="5ADADFE5" w14:textId="77777777" w:rsidR="000D1D20" w:rsidRDefault="000D1D20" w:rsidP="00FF5CBF">
            <w:pPr>
              <w:pStyle w:val="ListBullet0"/>
              <w:numPr>
                <w:ilvl w:val="0"/>
                <w:numId w:val="47"/>
              </w:numPr>
              <w:spacing w:beforeLines="40" w:before="96" w:afterLines="40" w:after="96" w:line="240" w:lineRule="auto"/>
            </w:pPr>
            <w:r>
              <w:t>Operational</w:t>
            </w:r>
          </w:p>
          <w:p w14:paraId="19CC4530" w14:textId="77777777" w:rsidR="000D1D20" w:rsidRDefault="000D1D20" w:rsidP="00FF5CBF">
            <w:pPr>
              <w:pStyle w:val="ListBullet0"/>
              <w:numPr>
                <w:ilvl w:val="0"/>
                <w:numId w:val="47"/>
              </w:numPr>
              <w:spacing w:beforeLines="40" w:before="96" w:afterLines="40" w:after="96" w:line="240" w:lineRule="auto"/>
            </w:pPr>
            <w:r>
              <w:t>Grants (e.g. DRF)</w:t>
            </w:r>
          </w:p>
          <w:p w14:paraId="4C86F29E" w14:textId="77777777" w:rsidR="000D1D20" w:rsidRDefault="000D1D20" w:rsidP="00FF5CBF">
            <w:pPr>
              <w:pStyle w:val="ListBullet0"/>
              <w:numPr>
                <w:ilvl w:val="0"/>
                <w:numId w:val="47"/>
              </w:numPr>
              <w:spacing w:beforeLines="40" w:before="96" w:afterLines="40" w:after="96" w:line="240" w:lineRule="auto"/>
            </w:pPr>
            <w:r>
              <w:t>Direct beneficiaries</w:t>
            </w:r>
          </w:p>
        </w:tc>
        <w:tc>
          <w:tcPr>
            <w:tcW w:w="728" w:type="dxa"/>
          </w:tcPr>
          <w:p w14:paraId="7016695E" w14:textId="77777777" w:rsidR="000D1D20" w:rsidRDefault="000D1D20" w:rsidP="001355DB">
            <w:pPr>
              <w:pStyle w:val="TableText"/>
            </w:pPr>
          </w:p>
        </w:tc>
        <w:tc>
          <w:tcPr>
            <w:tcW w:w="0" w:type="auto"/>
          </w:tcPr>
          <w:p w14:paraId="26D5306A" w14:textId="77777777" w:rsidR="000D1D20" w:rsidRDefault="000D1D20" w:rsidP="001355DB">
            <w:pPr>
              <w:pStyle w:val="TableText"/>
            </w:pPr>
          </w:p>
        </w:tc>
        <w:tc>
          <w:tcPr>
            <w:tcW w:w="0" w:type="auto"/>
          </w:tcPr>
          <w:p w14:paraId="5BAF1053" w14:textId="77777777" w:rsidR="000D1D20" w:rsidRDefault="000D1D20" w:rsidP="001355DB">
            <w:pPr>
              <w:pStyle w:val="TableText"/>
            </w:pPr>
          </w:p>
        </w:tc>
        <w:tc>
          <w:tcPr>
            <w:tcW w:w="0" w:type="auto"/>
          </w:tcPr>
          <w:p w14:paraId="6612145F" w14:textId="77777777" w:rsidR="000D1D20" w:rsidRDefault="000D1D20" w:rsidP="001355DB">
            <w:pPr>
              <w:pStyle w:val="TableText"/>
            </w:pPr>
            <w:r>
              <w:t>x</w:t>
            </w:r>
          </w:p>
        </w:tc>
      </w:tr>
    </w:tbl>
    <w:p w14:paraId="631C7581" w14:textId="77777777" w:rsidR="000D1D20" w:rsidRDefault="000D1D20" w:rsidP="000D1D20">
      <w:pPr>
        <w:pStyle w:val="TableCaption"/>
      </w:pPr>
    </w:p>
    <w:p w14:paraId="5E960070" w14:textId="77777777" w:rsidR="000D1D20" w:rsidRDefault="000D1D20" w:rsidP="005A005B">
      <w:pPr>
        <w:pStyle w:val="FigureCaption"/>
        <w:sectPr w:rsidR="000D1D20" w:rsidSect="000D1D20">
          <w:footerReference w:type="default" r:id="rId67"/>
          <w:pgSz w:w="23811" w:h="16838" w:orient="landscape" w:code="8"/>
          <w:pgMar w:top="1134" w:right="1985" w:bottom="1134" w:left="1701" w:header="567" w:footer="567" w:gutter="0"/>
          <w:cols w:space="708"/>
          <w:docGrid w:linePitch="360"/>
        </w:sectPr>
      </w:pPr>
    </w:p>
    <w:p w14:paraId="65562C5A" w14:textId="5A923CE6" w:rsidR="008E3A8D" w:rsidRDefault="008E3A8D" w:rsidP="003B1E92">
      <w:pPr>
        <w:pStyle w:val="Heading7"/>
        <w:framePr w:wrap="around"/>
        <w:numPr>
          <w:ilvl w:val="6"/>
          <w:numId w:val="14"/>
        </w:numPr>
      </w:pPr>
      <w:r>
        <w:lastRenderedPageBreak/>
        <w:br/>
      </w:r>
      <w:bookmarkStart w:id="347" w:name="_Toc164167683"/>
      <w:bookmarkStart w:id="348" w:name="_Ref164170096"/>
      <w:bookmarkStart w:id="349" w:name="_Ref164170230"/>
      <w:bookmarkStart w:id="350" w:name="_Ref164174412"/>
      <w:bookmarkStart w:id="351" w:name="_Toc164232488"/>
      <w:bookmarkStart w:id="352" w:name="_Ref164238666"/>
      <w:bookmarkStart w:id="353" w:name="_Toc164253024"/>
      <w:bookmarkStart w:id="354" w:name="_Toc164254154"/>
      <w:bookmarkStart w:id="355" w:name="_Toc164256090"/>
      <w:bookmarkStart w:id="356" w:name="_Toc164411255"/>
      <w:bookmarkStart w:id="357" w:name="_Toc164421026"/>
      <w:r w:rsidR="00F84F1D">
        <w:t xml:space="preserve">Maps of </w:t>
      </w:r>
      <w:r w:rsidR="001271A5">
        <w:t>E</w:t>
      </w:r>
      <w:r w:rsidR="008E557B">
        <w:t xml:space="preserve">rosion </w:t>
      </w:r>
      <w:r w:rsidR="001271A5">
        <w:t>a</w:t>
      </w:r>
      <w:r w:rsidR="008E557B">
        <w:t xml:space="preserve">nd </w:t>
      </w:r>
      <w:r w:rsidR="001271A5">
        <w:t>I</w:t>
      </w:r>
      <w:r w:rsidR="008E557B">
        <w:t xml:space="preserve">nundation </w:t>
      </w:r>
      <w:bookmarkEnd w:id="347"/>
      <w:bookmarkEnd w:id="348"/>
      <w:bookmarkEnd w:id="349"/>
      <w:bookmarkEnd w:id="350"/>
      <w:bookmarkEnd w:id="351"/>
      <w:bookmarkEnd w:id="352"/>
      <w:r w:rsidR="00F84F1D">
        <w:t>And Recommended Adaptation Options</w:t>
      </w:r>
      <w:bookmarkEnd w:id="353"/>
      <w:bookmarkEnd w:id="354"/>
      <w:bookmarkEnd w:id="355"/>
      <w:bookmarkEnd w:id="356"/>
      <w:bookmarkEnd w:id="357"/>
    </w:p>
    <w:p w14:paraId="35F06CFC" w14:textId="77777777" w:rsidR="008E3A8D" w:rsidRDefault="008E3A8D" w:rsidP="00700FC1">
      <w:pPr>
        <w:pStyle w:val="BodyText"/>
      </w:pPr>
    </w:p>
    <w:p w14:paraId="6391D5CA" w14:textId="3642911C" w:rsidR="008E3A8D" w:rsidRDefault="008E3A8D" w:rsidP="00700FC1">
      <w:pPr>
        <w:pStyle w:val="BodyText"/>
      </w:pPr>
    </w:p>
    <w:p w14:paraId="6CC382D8" w14:textId="77777777" w:rsidR="008E3A8D" w:rsidRDefault="008E3A8D" w:rsidP="00700FC1">
      <w:pPr>
        <w:pStyle w:val="BodyText"/>
      </w:pPr>
    </w:p>
    <w:p w14:paraId="237F77DB" w14:textId="77777777" w:rsidR="008E3A8D" w:rsidRDefault="008E3A8D" w:rsidP="00700FC1">
      <w:pPr>
        <w:pStyle w:val="BodyText"/>
      </w:pPr>
    </w:p>
    <w:p w14:paraId="6C25C8E0" w14:textId="77777777" w:rsidR="008E3A8D" w:rsidRDefault="008E3A8D" w:rsidP="00700FC1">
      <w:pPr>
        <w:pStyle w:val="BodyText"/>
      </w:pPr>
    </w:p>
    <w:p w14:paraId="00981BAF" w14:textId="77777777" w:rsidR="008E3A8D" w:rsidRDefault="008E3A8D" w:rsidP="00700FC1">
      <w:pPr>
        <w:pStyle w:val="BodyText"/>
      </w:pPr>
    </w:p>
    <w:p w14:paraId="666AC809" w14:textId="77777777" w:rsidR="008E3A8D" w:rsidRDefault="008E3A8D" w:rsidP="00700FC1">
      <w:pPr>
        <w:pStyle w:val="BodyText"/>
      </w:pPr>
    </w:p>
    <w:p w14:paraId="0BC236EC" w14:textId="7CB3A5C7" w:rsidR="008E557B" w:rsidRPr="008E557B" w:rsidRDefault="00456CAC" w:rsidP="008E557B">
      <w:pPr>
        <w:spacing w:before="80" w:after="80"/>
        <w:rPr>
          <w:rFonts w:eastAsia="Times New Roman" w:cs="Times New Roman"/>
          <w:szCs w:val="24"/>
          <w:lang w:eastAsia="en-AU"/>
        </w:rPr>
        <w:sectPr w:rsidR="008E557B" w:rsidRPr="008E557B" w:rsidSect="00AB3B28">
          <w:footerReference w:type="default" r:id="rId68"/>
          <w:pgSz w:w="11906" w:h="16838" w:code="9"/>
          <w:pgMar w:top="1985" w:right="1134" w:bottom="1701" w:left="1134" w:header="567" w:footer="567" w:gutter="0"/>
          <w:cols w:space="708"/>
          <w:docGrid w:linePitch="360"/>
        </w:sectPr>
      </w:pPr>
      <w:r>
        <w:rPr>
          <w:noProof/>
        </w:rPr>
        <w:drawing>
          <wp:anchor distT="0" distB="0" distL="114300" distR="114300" simplePos="0" relativeHeight="251652096" behindDoc="0" locked="0" layoutInCell="1" allowOverlap="1" wp14:anchorId="6052A81D" wp14:editId="4258A65D">
            <wp:simplePos x="0" y="0"/>
            <wp:positionH relativeFrom="margin">
              <wp:align>center</wp:align>
            </wp:positionH>
            <wp:positionV relativeFrom="paragraph">
              <wp:posOffset>5739130</wp:posOffset>
            </wp:positionV>
            <wp:extent cx="7199630" cy="1599565"/>
            <wp:effectExtent l="0" t="0" r="1270" b="635"/>
            <wp:wrapNone/>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rotWithShape="1">
                    <a:blip r:embed="rId69">
                      <a:extLst>
                        <a:ext uri="{28A0092B-C50C-407E-A947-70E740481C1C}">
                          <a14:useLocalDpi xmlns:a14="http://schemas.microsoft.com/office/drawing/2010/main" val="0"/>
                        </a:ext>
                      </a:extLst>
                    </a:blip>
                    <a:srcRect t="84284"/>
                    <a:stretch/>
                  </pic:blipFill>
                  <pic:spPr bwMode="auto">
                    <a:xfrm>
                      <a:off x="0" y="0"/>
                      <a:ext cx="7199630" cy="1599565"/>
                    </a:xfrm>
                    <a:prstGeom prst="rect">
                      <a:avLst/>
                    </a:prstGeom>
                    <a:ln>
                      <a:noFill/>
                    </a:ln>
                    <a:extLst>
                      <a:ext uri="{53640926-AAD7-44D8-BBD7-CCE9431645EC}">
                        <a14:shadowObscured xmlns:a14="http://schemas.microsoft.com/office/drawing/2010/main"/>
                      </a:ext>
                    </a:extLst>
                  </pic:spPr>
                </pic:pic>
              </a:graphicData>
            </a:graphic>
          </wp:anchor>
        </w:drawing>
      </w:r>
      <w:r>
        <w:br w:type="page"/>
      </w:r>
    </w:p>
    <w:p w14:paraId="6DD9F028" w14:textId="34F85D7A" w:rsidR="00AF09A2" w:rsidRDefault="00AF09A2" w:rsidP="00AF09A2">
      <w:pPr>
        <w:pStyle w:val="NormalWeb"/>
        <w:jc w:val="center"/>
      </w:pPr>
      <w:r>
        <w:rPr>
          <w:noProof/>
        </w:rPr>
        <w:lastRenderedPageBreak/>
        <w:drawing>
          <wp:inline distT="0" distB="0" distL="0" distR="0" wp14:anchorId="6DB5ADD0" wp14:editId="52E1A15D">
            <wp:extent cx="11929745" cy="8351520"/>
            <wp:effectExtent l="0" t="0" r="0" b="0"/>
            <wp:docPr id="11876353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929745" cy="8351520"/>
                    </a:xfrm>
                    <a:prstGeom prst="rect">
                      <a:avLst/>
                    </a:prstGeom>
                    <a:noFill/>
                    <a:ln>
                      <a:noFill/>
                    </a:ln>
                  </pic:spPr>
                </pic:pic>
              </a:graphicData>
            </a:graphic>
          </wp:inline>
        </w:drawing>
      </w:r>
    </w:p>
    <w:p w14:paraId="1B43B752" w14:textId="5573D4AA" w:rsidR="00AF09A2" w:rsidRDefault="00AF09A2" w:rsidP="00AF09A2">
      <w:pPr>
        <w:pStyle w:val="NormalWeb"/>
        <w:jc w:val="center"/>
      </w:pPr>
      <w:r>
        <w:rPr>
          <w:noProof/>
        </w:rPr>
        <w:lastRenderedPageBreak/>
        <w:drawing>
          <wp:inline distT="0" distB="0" distL="0" distR="0" wp14:anchorId="31260968" wp14:editId="3A6D40F4">
            <wp:extent cx="12036055" cy="8367824"/>
            <wp:effectExtent l="0" t="0" r="3810" b="0"/>
            <wp:docPr id="640711049" name="Picture 2" descr="A map of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11049" name="Picture 2" descr="A map of a lake&#10;&#10;Description automatically generated"/>
                    <pic:cNvPicPr>
                      <a:picLocks noChangeAspect="1" noChangeArrowheads="1"/>
                    </pic:cNvPicPr>
                  </pic:nvPicPr>
                  <pic:blipFill rotWithShape="1">
                    <a:blip r:embed="rId71">
                      <a:extLst>
                        <a:ext uri="{28A0092B-C50C-407E-A947-70E740481C1C}">
                          <a14:useLocalDpi xmlns:a14="http://schemas.microsoft.com/office/drawing/2010/main" val="0"/>
                        </a:ext>
                      </a:extLst>
                    </a:blip>
                    <a:srcRect r="3741" b="-195"/>
                    <a:stretch/>
                  </pic:blipFill>
                  <pic:spPr bwMode="auto">
                    <a:xfrm>
                      <a:off x="0" y="0"/>
                      <a:ext cx="12036055" cy="8367824"/>
                    </a:xfrm>
                    <a:prstGeom prst="rect">
                      <a:avLst/>
                    </a:prstGeom>
                    <a:noFill/>
                    <a:ln>
                      <a:noFill/>
                    </a:ln>
                    <a:extLst>
                      <a:ext uri="{53640926-AAD7-44D8-BBD7-CCE9431645EC}">
                        <a14:shadowObscured xmlns:a14="http://schemas.microsoft.com/office/drawing/2010/main"/>
                      </a:ext>
                    </a:extLst>
                  </pic:spPr>
                </pic:pic>
              </a:graphicData>
            </a:graphic>
          </wp:inline>
        </w:drawing>
      </w:r>
    </w:p>
    <w:p w14:paraId="3BECB9CD" w14:textId="77777777" w:rsidR="008E557B" w:rsidRDefault="008E557B" w:rsidP="00700FC1">
      <w:pPr>
        <w:pStyle w:val="BodyText"/>
        <w:sectPr w:rsidR="008E557B" w:rsidSect="008E557B">
          <w:headerReference w:type="even" r:id="rId72"/>
          <w:headerReference w:type="default" r:id="rId73"/>
          <w:footerReference w:type="even" r:id="rId74"/>
          <w:footerReference w:type="default" r:id="rId75"/>
          <w:headerReference w:type="first" r:id="rId76"/>
          <w:footerReference w:type="first" r:id="rId77"/>
          <w:pgSz w:w="23811" w:h="16838" w:code="9"/>
          <w:pgMar w:top="1985" w:right="1134" w:bottom="1701" w:left="1134" w:header="567" w:footer="567" w:gutter="0"/>
          <w:cols w:space="708"/>
          <w:docGrid w:linePitch="360"/>
        </w:sectPr>
      </w:pPr>
    </w:p>
    <w:p w14:paraId="349D7B85" w14:textId="4ECAFFB4" w:rsidR="00AF09A2" w:rsidRDefault="00AF09A2" w:rsidP="00AF09A2">
      <w:pPr>
        <w:pStyle w:val="NormalWeb"/>
        <w:jc w:val="center"/>
      </w:pPr>
      <w:r>
        <w:rPr>
          <w:noProof/>
        </w:rPr>
        <w:lastRenderedPageBreak/>
        <w:drawing>
          <wp:inline distT="0" distB="0" distL="0" distR="0" wp14:anchorId="21682D45" wp14:editId="144971C1">
            <wp:extent cx="12503785" cy="8351520"/>
            <wp:effectExtent l="0" t="0" r="0" b="0"/>
            <wp:docPr id="1497808079"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08079" name="Picture 3" descr="A map of a city&#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503785" cy="8351520"/>
                    </a:xfrm>
                    <a:prstGeom prst="rect">
                      <a:avLst/>
                    </a:prstGeom>
                    <a:noFill/>
                    <a:ln>
                      <a:noFill/>
                    </a:ln>
                  </pic:spPr>
                </pic:pic>
              </a:graphicData>
            </a:graphic>
          </wp:inline>
        </w:drawing>
      </w:r>
    </w:p>
    <w:p w14:paraId="1B80B315" w14:textId="6064E912" w:rsidR="00AF09A2" w:rsidRDefault="00AF09A2" w:rsidP="00AF09A2">
      <w:pPr>
        <w:pStyle w:val="NormalWeb"/>
        <w:jc w:val="center"/>
      </w:pPr>
      <w:r>
        <w:rPr>
          <w:noProof/>
        </w:rPr>
        <w:lastRenderedPageBreak/>
        <w:drawing>
          <wp:inline distT="0" distB="0" distL="0" distR="0" wp14:anchorId="18BCBBE3" wp14:editId="556A07D8">
            <wp:extent cx="12057321" cy="8346313"/>
            <wp:effectExtent l="0" t="0" r="1905" b="0"/>
            <wp:docPr id="1151070793" name="Picture 4" descr="A map of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70793" name="Picture 4" descr="A map of a beach&#10;&#10;Description automatically generated"/>
                    <pic:cNvPicPr>
                      <a:picLocks noChangeAspect="1" noChangeArrowheads="1"/>
                    </pic:cNvPicPr>
                  </pic:nvPicPr>
                  <pic:blipFill rotWithShape="1">
                    <a:blip r:embed="rId79">
                      <a:extLst>
                        <a:ext uri="{28A0092B-C50C-407E-A947-70E740481C1C}">
                          <a14:useLocalDpi xmlns:a14="http://schemas.microsoft.com/office/drawing/2010/main" val="0"/>
                        </a:ext>
                      </a:extLst>
                    </a:blip>
                    <a:srcRect t="504" r="4487" b="508"/>
                    <a:stretch/>
                  </pic:blipFill>
                  <pic:spPr bwMode="auto">
                    <a:xfrm>
                      <a:off x="0" y="0"/>
                      <a:ext cx="12059470" cy="8347801"/>
                    </a:xfrm>
                    <a:prstGeom prst="rect">
                      <a:avLst/>
                    </a:prstGeom>
                    <a:noFill/>
                    <a:ln>
                      <a:noFill/>
                    </a:ln>
                    <a:extLst>
                      <a:ext uri="{53640926-AAD7-44D8-BBD7-CCE9431645EC}">
                        <a14:shadowObscured xmlns:a14="http://schemas.microsoft.com/office/drawing/2010/main"/>
                      </a:ext>
                    </a:extLst>
                  </pic:spPr>
                </pic:pic>
              </a:graphicData>
            </a:graphic>
          </wp:inline>
        </w:drawing>
      </w:r>
    </w:p>
    <w:p w14:paraId="1FDC45FD" w14:textId="670387D7" w:rsidR="00AF09A2" w:rsidRDefault="00AF09A2" w:rsidP="00AF09A2">
      <w:pPr>
        <w:pStyle w:val="NormalWeb"/>
        <w:jc w:val="center"/>
      </w:pPr>
      <w:r>
        <w:rPr>
          <w:noProof/>
        </w:rPr>
        <w:lastRenderedPageBreak/>
        <w:drawing>
          <wp:inline distT="0" distB="0" distL="0" distR="0" wp14:anchorId="4C70D65B" wp14:editId="2B3E4F52">
            <wp:extent cx="11940362" cy="8298357"/>
            <wp:effectExtent l="0" t="0" r="4445" b="7620"/>
            <wp:docPr id="1243528723" name="Picture 5" descr="An aerial view of a small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28723" name="Picture 5" descr="An aerial view of a small island&#10;&#10;Description automatically generated"/>
                    <pic:cNvPicPr>
                      <a:picLocks noChangeAspect="1" noChangeArrowheads="1"/>
                    </pic:cNvPicPr>
                  </pic:nvPicPr>
                  <pic:blipFill rotWithShape="1">
                    <a:blip r:embed="rId80">
                      <a:extLst>
                        <a:ext uri="{28A0092B-C50C-407E-A947-70E740481C1C}">
                          <a14:useLocalDpi xmlns:a14="http://schemas.microsoft.com/office/drawing/2010/main" val="0"/>
                        </a:ext>
                      </a:extLst>
                    </a:blip>
                    <a:srcRect t="636" r="4506"/>
                    <a:stretch/>
                  </pic:blipFill>
                  <pic:spPr bwMode="auto">
                    <a:xfrm>
                      <a:off x="0" y="0"/>
                      <a:ext cx="11940362" cy="8298357"/>
                    </a:xfrm>
                    <a:prstGeom prst="rect">
                      <a:avLst/>
                    </a:prstGeom>
                    <a:noFill/>
                    <a:ln>
                      <a:noFill/>
                    </a:ln>
                    <a:extLst>
                      <a:ext uri="{53640926-AAD7-44D8-BBD7-CCE9431645EC}">
                        <a14:shadowObscured xmlns:a14="http://schemas.microsoft.com/office/drawing/2010/main"/>
                      </a:ext>
                    </a:extLst>
                  </pic:spPr>
                </pic:pic>
              </a:graphicData>
            </a:graphic>
          </wp:inline>
        </w:drawing>
      </w:r>
    </w:p>
    <w:p w14:paraId="14F50285" w14:textId="70E1C0D5" w:rsidR="00B0732F" w:rsidRDefault="00B0732F" w:rsidP="00B0732F">
      <w:pPr>
        <w:pStyle w:val="NormalWeb"/>
        <w:jc w:val="center"/>
      </w:pPr>
      <w:r>
        <w:rPr>
          <w:noProof/>
        </w:rPr>
        <w:lastRenderedPageBreak/>
        <w:drawing>
          <wp:inline distT="0" distB="0" distL="0" distR="0" wp14:anchorId="5EF91705" wp14:editId="2A9D5565">
            <wp:extent cx="11929745" cy="8351520"/>
            <wp:effectExtent l="0" t="0" r="0" b="0"/>
            <wp:docPr id="19535765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929745" cy="8351520"/>
                    </a:xfrm>
                    <a:prstGeom prst="rect">
                      <a:avLst/>
                    </a:prstGeom>
                    <a:noFill/>
                    <a:ln>
                      <a:noFill/>
                    </a:ln>
                  </pic:spPr>
                </pic:pic>
              </a:graphicData>
            </a:graphic>
          </wp:inline>
        </w:drawing>
      </w:r>
    </w:p>
    <w:p w14:paraId="5F248D3A" w14:textId="1C89B30F" w:rsidR="00B0732F" w:rsidRDefault="00B0732F" w:rsidP="00B0732F">
      <w:pPr>
        <w:pStyle w:val="NormalWeb"/>
      </w:pPr>
      <w:r>
        <w:rPr>
          <w:noProof/>
        </w:rPr>
        <w:lastRenderedPageBreak/>
        <w:drawing>
          <wp:inline distT="0" distB="0" distL="0" distR="0" wp14:anchorId="5231E4D4" wp14:editId="2D18693A">
            <wp:extent cx="12503785" cy="8351520"/>
            <wp:effectExtent l="0" t="0" r="0" b="0"/>
            <wp:docPr id="844462725" name="Picture 7" descr="A map of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462725" name="Picture 7" descr="A map of a lake&#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2503785" cy="8351520"/>
                    </a:xfrm>
                    <a:prstGeom prst="rect">
                      <a:avLst/>
                    </a:prstGeom>
                    <a:noFill/>
                    <a:ln>
                      <a:noFill/>
                    </a:ln>
                  </pic:spPr>
                </pic:pic>
              </a:graphicData>
            </a:graphic>
          </wp:inline>
        </w:drawing>
      </w:r>
    </w:p>
    <w:p w14:paraId="26D646F9" w14:textId="4DBAE77D" w:rsidR="00B0732F" w:rsidRDefault="00B0732F" w:rsidP="00B0732F">
      <w:pPr>
        <w:pStyle w:val="NormalWeb"/>
        <w:jc w:val="center"/>
      </w:pPr>
      <w:r>
        <w:rPr>
          <w:noProof/>
        </w:rPr>
        <w:lastRenderedPageBreak/>
        <w:drawing>
          <wp:inline distT="0" distB="0" distL="0" distR="0" wp14:anchorId="1927CC53" wp14:editId="1D423C0B">
            <wp:extent cx="11993525" cy="8351520"/>
            <wp:effectExtent l="0" t="0" r="8255" b="0"/>
            <wp:docPr id="459271914" name="Picture 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271914" name="Picture 8" descr="A map of a city&#10;&#10;Description automatically generated"/>
                    <pic:cNvPicPr>
                      <a:picLocks noChangeAspect="1" noChangeArrowheads="1"/>
                    </pic:cNvPicPr>
                  </pic:nvPicPr>
                  <pic:blipFill rotWithShape="1">
                    <a:blip r:embed="rId83">
                      <a:extLst>
                        <a:ext uri="{28A0092B-C50C-407E-A947-70E740481C1C}">
                          <a14:useLocalDpi xmlns:a14="http://schemas.microsoft.com/office/drawing/2010/main" val="0"/>
                        </a:ext>
                      </a:extLst>
                    </a:blip>
                    <a:srcRect r="4080"/>
                    <a:stretch/>
                  </pic:blipFill>
                  <pic:spPr bwMode="auto">
                    <a:xfrm>
                      <a:off x="0" y="0"/>
                      <a:ext cx="11993525" cy="8351520"/>
                    </a:xfrm>
                    <a:prstGeom prst="rect">
                      <a:avLst/>
                    </a:prstGeom>
                    <a:noFill/>
                    <a:ln>
                      <a:noFill/>
                    </a:ln>
                    <a:extLst>
                      <a:ext uri="{53640926-AAD7-44D8-BBD7-CCE9431645EC}">
                        <a14:shadowObscured xmlns:a14="http://schemas.microsoft.com/office/drawing/2010/main"/>
                      </a:ext>
                    </a:extLst>
                  </pic:spPr>
                </pic:pic>
              </a:graphicData>
            </a:graphic>
          </wp:inline>
        </w:drawing>
      </w:r>
    </w:p>
    <w:p w14:paraId="5FC56305" w14:textId="6F058787" w:rsidR="00B0732F" w:rsidRDefault="00B0732F" w:rsidP="00B0732F">
      <w:pPr>
        <w:pStyle w:val="NormalWeb"/>
        <w:jc w:val="center"/>
      </w:pPr>
      <w:r>
        <w:rPr>
          <w:noProof/>
        </w:rPr>
        <w:lastRenderedPageBreak/>
        <w:drawing>
          <wp:inline distT="0" distB="0" distL="0" distR="0" wp14:anchorId="63CA37A3" wp14:editId="618E51A4">
            <wp:extent cx="11982893" cy="8351520"/>
            <wp:effectExtent l="0" t="0" r="0" b="0"/>
            <wp:docPr id="1667155417" name="Picture 9" descr="A map of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55417" name="Picture 9" descr="A map of the ocean&#10;&#10;Description automatically generated"/>
                    <pic:cNvPicPr>
                      <a:picLocks noChangeAspect="1" noChangeArrowheads="1"/>
                    </pic:cNvPicPr>
                  </pic:nvPicPr>
                  <pic:blipFill rotWithShape="1">
                    <a:blip r:embed="rId84">
                      <a:extLst>
                        <a:ext uri="{28A0092B-C50C-407E-A947-70E740481C1C}">
                          <a14:useLocalDpi xmlns:a14="http://schemas.microsoft.com/office/drawing/2010/main" val="0"/>
                        </a:ext>
                      </a:extLst>
                    </a:blip>
                    <a:srcRect r="4165"/>
                    <a:stretch/>
                  </pic:blipFill>
                  <pic:spPr bwMode="auto">
                    <a:xfrm>
                      <a:off x="0" y="0"/>
                      <a:ext cx="11982893" cy="8351520"/>
                    </a:xfrm>
                    <a:prstGeom prst="rect">
                      <a:avLst/>
                    </a:prstGeom>
                    <a:noFill/>
                    <a:ln>
                      <a:noFill/>
                    </a:ln>
                    <a:extLst>
                      <a:ext uri="{53640926-AAD7-44D8-BBD7-CCE9431645EC}">
                        <a14:shadowObscured xmlns:a14="http://schemas.microsoft.com/office/drawing/2010/main"/>
                      </a:ext>
                    </a:extLst>
                  </pic:spPr>
                </pic:pic>
              </a:graphicData>
            </a:graphic>
          </wp:inline>
        </w:drawing>
      </w:r>
    </w:p>
    <w:p w14:paraId="00827530" w14:textId="0AD06BA1" w:rsidR="00B0732F" w:rsidRDefault="00B0732F" w:rsidP="00B0732F">
      <w:pPr>
        <w:pStyle w:val="NormalWeb"/>
        <w:jc w:val="center"/>
      </w:pPr>
      <w:r>
        <w:rPr>
          <w:noProof/>
        </w:rPr>
        <w:lastRenderedPageBreak/>
        <w:drawing>
          <wp:inline distT="0" distB="0" distL="0" distR="0" wp14:anchorId="03CD92B9" wp14:editId="5C9774E5">
            <wp:extent cx="11940362" cy="8351520"/>
            <wp:effectExtent l="0" t="0" r="4445" b="0"/>
            <wp:docPr id="526457159" name="Picture 10" descr="A map of a land with a map of the isl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457159" name="Picture 10" descr="A map of a land with a map of the island&#10;&#10;Description automatically generated with medium confidence"/>
                    <pic:cNvPicPr>
                      <a:picLocks noChangeAspect="1" noChangeArrowheads="1"/>
                    </pic:cNvPicPr>
                  </pic:nvPicPr>
                  <pic:blipFill rotWithShape="1">
                    <a:blip r:embed="rId85">
                      <a:extLst>
                        <a:ext uri="{28A0092B-C50C-407E-A947-70E740481C1C}">
                          <a14:useLocalDpi xmlns:a14="http://schemas.microsoft.com/office/drawing/2010/main" val="0"/>
                        </a:ext>
                      </a:extLst>
                    </a:blip>
                    <a:srcRect r="4506"/>
                    <a:stretch/>
                  </pic:blipFill>
                  <pic:spPr bwMode="auto">
                    <a:xfrm>
                      <a:off x="0" y="0"/>
                      <a:ext cx="11940362" cy="8351520"/>
                    </a:xfrm>
                    <a:prstGeom prst="rect">
                      <a:avLst/>
                    </a:prstGeom>
                    <a:noFill/>
                    <a:ln>
                      <a:noFill/>
                    </a:ln>
                    <a:extLst>
                      <a:ext uri="{53640926-AAD7-44D8-BBD7-CCE9431645EC}">
                        <a14:shadowObscured xmlns:a14="http://schemas.microsoft.com/office/drawing/2010/main"/>
                      </a:ext>
                    </a:extLst>
                  </pic:spPr>
                </pic:pic>
              </a:graphicData>
            </a:graphic>
          </wp:inline>
        </w:drawing>
      </w:r>
    </w:p>
    <w:p w14:paraId="68F04778" w14:textId="1B43206C" w:rsidR="008E557B" w:rsidRDefault="008E557B" w:rsidP="00700FC1">
      <w:pPr>
        <w:pStyle w:val="BodyText"/>
        <w:sectPr w:rsidR="008E557B" w:rsidSect="008E557B">
          <w:headerReference w:type="even" r:id="rId86"/>
          <w:headerReference w:type="default" r:id="rId87"/>
          <w:footerReference w:type="even" r:id="rId88"/>
          <w:footerReference w:type="default" r:id="rId89"/>
          <w:headerReference w:type="first" r:id="rId90"/>
          <w:footerReference w:type="first" r:id="rId91"/>
          <w:pgSz w:w="23811" w:h="16838" w:code="9"/>
          <w:pgMar w:top="1985" w:right="1134" w:bottom="1701" w:left="1134" w:header="567" w:footer="567" w:gutter="0"/>
          <w:cols w:space="708"/>
          <w:docGrid w:linePitch="360"/>
        </w:sectPr>
      </w:pPr>
    </w:p>
    <w:p w14:paraId="3052DB9B" w14:textId="225A9EA1" w:rsidR="000E451A" w:rsidRDefault="000E451A" w:rsidP="003B1E92">
      <w:pPr>
        <w:pStyle w:val="Heading7"/>
        <w:framePr w:wrap="around"/>
        <w:numPr>
          <w:ilvl w:val="6"/>
          <w:numId w:val="14"/>
        </w:numPr>
      </w:pPr>
      <w:bookmarkStart w:id="358" w:name="_Hlk63338479"/>
      <w:bookmarkEnd w:id="22"/>
      <w:r>
        <w:lastRenderedPageBreak/>
        <w:br/>
      </w:r>
      <w:bookmarkStart w:id="359" w:name="_Toc164167684"/>
      <w:bookmarkStart w:id="360" w:name="_Toc164232489"/>
      <w:bookmarkStart w:id="361" w:name="_Ref164238219"/>
      <w:bookmarkStart w:id="362" w:name="_Ref164238301"/>
      <w:bookmarkStart w:id="363" w:name="_Ref164238325"/>
      <w:bookmarkStart w:id="364" w:name="_Toc164253025"/>
      <w:bookmarkStart w:id="365" w:name="_Toc164254155"/>
      <w:bookmarkStart w:id="366" w:name="_Toc164256091"/>
      <w:bookmarkStart w:id="367" w:name="_Toc164411256"/>
      <w:bookmarkStart w:id="368" w:name="_Toc164421027"/>
      <w:r w:rsidR="00DD1A91">
        <w:t xml:space="preserve">Establish </w:t>
      </w:r>
      <w:r w:rsidR="00567685">
        <w:t xml:space="preserve">The </w:t>
      </w:r>
      <w:r w:rsidR="00DD1A91">
        <w:t>Context</w:t>
      </w:r>
      <w:bookmarkEnd w:id="359"/>
      <w:bookmarkEnd w:id="360"/>
      <w:bookmarkEnd w:id="361"/>
      <w:bookmarkEnd w:id="362"/>
      <w:bookmarkEnd w:id="363"/>
      <w:r w:rsidR="00567685">
        <w:t xml:space="preserve"> Chapter Report</w:t>
      </w:r>
      <w:bookmarkEnd w:id="364"/>
      <w:bookmarkEnd w:id="365"/>
      <w:bookmarkEnd w:id="366"/>
      <w:bookmarkEnd w:id="367"/>
      <w:bookmarkEnd w:id="368"/>
    </w:p>
    <w:p w14:paraId="75BFA877" w14:textId="77777777" w:rsidR="000E451A" w:rsidRDefault="000E451A" w:rsidP="00700FC1">
      <w:pPr>
        <w:pStyle w:val="BodyText"/>
      </w:pPr>
    </w:p>
    <w:p w14:paraId="54AED14B" w14:textId="19844DA1" w:rsidR="000E451A" w:rsidRDefault="000E451A" w:rsidP="00700FC1">
      <w:pPr>
        <w:pStyle w:val="BodyText"/>
      </w:pPr>
    </w:p>
    <w:p w14:paraId="51A01205" w14:textId="77777777" w:rsidR="000E451A" w:rsidRDefault="000E451A" w:rsidP="00700FC1">
      <w:pPr>
        <w:pStyle w:val="BodyText"/>
      </w:pPr>
    </w:p>
    <w:p w14:paraId="04E0399D" w14:textId="77777777" w:rsidR="000E451A" w:rsidRDefault="000E451A" w:rsidP="00700FC1">
      <w:pPr>
        <w:pStyle w:val="BodyText"/>
      </w:pPr>
    </w:p>
    <w:p w14:paraId="290EEFD0" w14:textId="77777777" w:rsidR="000E451A" w:rsidRDefault="000E451A" w:rsidP="00700FC1">
      <w:pPr>
        <w:pStyle w:val="BodyText"/>
      </w:pPr>
    </w:p>
    <w:p w14:paraId="3D12C5BF" w14:textId="77777777" w:rsidR="000E451A" w:rsidRDefault="000E451A" w:rsidP="00700FC1">
      <w:pPr>
        <w:pStyle w:val="BodyText"/>
      </w:pPr>
    </w:p>
    <w:p w14:paraId="1438F94C" w14:textId="77777777" w:rsidR="000E451A" w:rsidRDefault="000E451A" w:rsidP="00700FC1">
      <w:pPr>
        <w:pStyle w:val="BodyText"/>
      </w:pPr>
    </w:p>
    <w:p w14:paraId="68C081F8" w14:textId="77777777" w:rsidR="000E451A" w:rsidRDefault="000E451A" w:rsidP="00700FC1">
      <w:pPr>
        <w:pStyle w:val="BodyText"/>
      </w:pPr>
    </w:p>
    <w:p w14:paraId="3C46EB20" w14:textId="77777777" w:rsidR="000E451A" w:rsidRPr="00A2461A" w:rsidRDefault="000E451A" w:rsidP="00700FC1">
      <w:pPr>
        <w:pStyle w:val="BodyText"/>
      </w:pPr>
    </w:p>
    <w:p w14:paraId="5B675180" w14:textId="6626A33A" w:rsidR="000E451A" w:rsidRPr="00792B38" w:rsidRDefault="000E451A" w:rsidP="00824ACF">
      <w:pPr>
        <w:spacing w:before="80" w:after="80"/>
      </w:pPr>
      <w:r>
        <w:rPr>
          <w:noProof/>
        </w:rPr>
        <w:drawing>
          <wp:anchor distT="0" distB="0" distL="114300" distR="114300" simplePos="0" relativeHeight="251653120" behindDoc="0" locked="0" layoutInCell="1" allowOverlap="1" wp14:anchorId="7DD872C7" wp14:editId="5DF32842">
            <wp:simplePos x="0" y="0"/>
            <wp:positionH relativeFrom="column">
              <wp:posOffset>-539337</wp:posOffset>
            </wp:positionH>
            <wp:positionV relativeFrom="paragraph">
              <wp:posOffset>4571675</wp:posOffset>
            </wp:positionV>
            <wp:extent cx="7199630" cy="1599565"/>
            <wp:effectExtent l="0" t="0" r="1270" b="635"/>
            <wp:wrapNone/>
            <wp:docPr id="2630872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87218" name="Picture 263087218"/>
                    <pic:cNvPicPr>
                      <a:picLocks noChangeAspect="1"/>
                    </pic:cNvPicPr>
                  </pic:nvPicPr>
                  <pic:blipFill rotWithShape="1">
                    <a:blip r:embed="rId69">
                      <a:extLst>
                        <a:ext uri="{28A0092B-C50C-407E-A947-70E740481C1C}">
                          <a14:useLocalDpi xmlns:a14="http://schemas.microsoft.com/office/drawing/2010/main" val="0"/>
                        </a:ext>
                      </a:extLst>
                    </a:blip>
                    <a:srcRect t="84284"/>
                    <a:stretch/>
                  </pic:blipFill>
                  <pic:spPr bwMode="auto">
                    <a:xfrm>
                      <a:off x="0" y="0"/>
                      <a:ext cx="7199630" cy="1599565"/>
                    </a:xfrm>
                    <a:prstGeom prst="rect">
                      <a:avLst/>
                    </a:prstGeom>
                    <a:ln>
                      <a:noFill/>
                    </a:ln>
                    <a:extLst>
                      <a:ext uri="{53640926-AAD7-44D8-BBD7-CCE9431645EC}">
                        <a14:shadowObscured xmlns:a14="http://schemas.microsoft.com/office/drawing/2010/main"/>
                      </a:ext>
                    </a:extLst>
                  </pic:spPr>
                </pic:pic>
              </a:graphicData>
            </a:graphic>
          </wp:anchor>
        </w:drawing>
      </w:r>
      <w:r w:rsidRPr="00792B38">
        <w:br w:type="page"/>
      </w:r>
    </w:p>
    <w:p w14:paraId="25AE9376" w14:textId="5F00E386" w:rsidR="000E451A" w:rsidRDefault="000E451A" w:rsidP="003B1E92">
      <w:pPr>
        <w:pStyle w:val="Heading7"/>
        <w:framePr w:wrap="around"/>
        <w:numPr>
          <w:ilvl w:val="6"/>
          <w:numId w:val="14"/>
        </w:numPr>
      </w:pPr>
      <w:r>
        <w:lastRenderedPageBreak/>
        <w:br/>
      </w:r>
      <w:bookmarkStart w:id="369" w:name="_Toc164167685"/>
      <w:bookmarkStart w:id="370" w:name="_Toc164232490"/>
      <w:bookmarkStart w:id="371" w:name="_Ref164239267"/>
      <w:bookmarkStart w:id="372" w:name="_Ref164239313"/>
      <w:bookmarkStart w:id="373" w:name="_Ref164242797"/>
      <w:bookmarkStart w:id="374" w:name="_Toc164253026"/>
      <w:bookmarkStart w:id="375" w:name="_Toc164254156"/>
      <w:bookmarkStart w:id="376" w:name="_Toc164256092"/>
      <w:bookmarkStart w:id="377" w:name="_Toc164411257"/>
      <w:bookmarkStart w:id="378" w:name="_Toc164421028"/>
      <w:r w:rsidR="00DD1A91">
        <w:t>Risk Identification</w:t>
      </w:r>
      <w:bookmarkEnd w:id="369"/>
      <w:bookmarkEnd w:id="370"/>
      <w:bookmarkEnd w:id="371"/>
      <w:bookmarkEnd w:id="372"/>
      <w:r w:rsidR="00567685">
        <w:t xml:space="preserve"> Chapter Report</w:t>
      </w:r>
      <w:bookmarkEnd w:id="373"/>
      <w:bookmarkEnd w:id="374"/>
      <w:bookmarkEnd w:id="375"/>
      <w:bookmarkEnd w:id="376"/>
      <w:bookmarkEnd w:id="377"/>
      <w:bookmarkEnd w:id="378"/>
    </w:p>
    <w:p w14:paraId="355BE84A" w14:textId="77777777" w:rsidR="000E451A" w:rsidRDefault="000E451A" w:rsidP="00700FC1">
      <w:pPr>
        <w:pStyle w:val="BodyText"/>
      </w:pPr>
    </w:p>
    <w:p w14:paraId="21EB313B" w14:textId="76070DBE" w:rsidR="000E451A" w:rsidRDefault="000E451A" w:rsidP="00700FC1">
      <w:pPr>
        <w:pStyle w:val="BodyText"/>
      </w:pPr>
    </w:p>
    <w:p w14:paraId="56CC6FCF" w14:textId="77777777" w:rsidR="000E451A" w:rsidRDefault="000E451A" w:rsidP="00700FC1">
      <w:pPr>
        <w:pStyle w:val="BodyText"/>
      </w:pPr>
    </w:p>
    <w:p w14:paraId="7BEA4E0F" w14:textId="77777777" w:rsidR="000E451A" w:rsidRDefault="000E451A" w:rsidP="00700FC1">
      <w:pPr>
        <w:pStyle w:val="BodyText"/>
      </w:pPr>
    </w:p>
    <w:p w14:paraId="66C18AEF" w14:textId="77777777" w:rsidR="000E451A" w:rsidRDefault="000E451A" w:rsidP="00700FC1">
      <w:pPr>
        <w:pStyle w:val="BodyText"/>
      </w:pPr>
    </w:p>
    <w:p w14:paraId="29FBEBD6" w14:textId="77777777" w:rsidR="000E451A" w:rsidRDefault="000E451A" w:rsidP="00700FC1">
      <w:pPr>
        <w:pStyle w:val="BodyText"/>
      </w:pPr>
    </w:p>
    <w:p w14:paraId="409331A1" w14:textId="77777777" w:rsidR="000E451A" w:rsidRDefault="000E451A" w:rsidP="00700FC1">
      <w:pPr>
        <w:pStyle w:val="BodyText"/>
      </w:pPr>
    </w:p>
    <w:p w14:paraId="69E3D2DD" w14:textId="77777777" w:rsidR="000E451A" w:rsidRDefault="000E451A" w:rsidP="00700FC1">
      <w:pPr>
        <w:pStyle w:val="BodyText"/>
      </w:pPr>
    </w:p>
    <w:p w14:paraId="641D5F45" w14:textId="77777777" w:rsidR="000E451A" w:rsidRPr="00A2461A" w:rsidRDefault="000E451A" w:rsidP="00700FC1">
      <w:pPr>
        <w:pStyle w:val="BodyText"/>
      </w:pPr>
    </w:p>
    <w:p w14:paraId="756FF35A" w14:textId="6AF6EE37" w:rsidR="000E451A" w:rsidRPr="00792B38" w:rsidRDefault="000E451A" w:rsidP="00824ACF">
      <w:pPr>
        <w:spacing w:before="80" w:after="80"/>
      </w:pPr>
      <w:r>
        <w:rPr>
          <w:noProof/>
        </w:rPr>
        <w:drawing>
          <wp:anchor distT="0" distB="0" distL="114300" distR="114300" simplePos="0" relativeHeight="251654144" behindDoc="0" locked="0" layoutInCell="1" allowOverlap="1" wp14:anchorId="14748F52" wp14:editId="545C4A16">
            <wp:simplePos x="0" y="0"/>
            <wp:positionH relativeFrom="column">
              <wp:posOffset>-539337</wp:posOffset>
            </wp:positionH>
            <wp:positionV relativeFrom="paragraph">
              <wp:posOffset>4571675</wp:posOffset>
            </wp:positionV>
            <wp:extent cx="7199630" cy="1599565"/>
            <wp:effectExtent l="0" t="0" r="1270" b="635"/>
            <wp:wrapNone/>
            <wp:docPr id="14808470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47026" name="Picture 1480847026"/>
                    <pic:cNvPicPr>
                      <a:picLocks noChangeAspect="1"/>
                    </pic:cNvPicPr>
                  </pic:nvPicPr>
                  <pic:blipFill rotWithShape="1">
                    <a:blip r:embed="rId69">
                      <a:extLst>
                        <a:ext uri="{28A0092B-C50C-407E-A947-70E740481C1C}">
                          <a14:useLocalDpi xmlns:a14="http://schemas.microsoft.com/office/drawing/2010/main" val="0"/>
                        </a:ext>
                      </a:extLst>
                    </a:blip>
                    <a:srcRect t="84284"/>
                    <a:stretch/>
                  </pic:blipFill>
                  <pic:spPr bwMode="auto">
                    <a:xfrm>
                      <a:off x="0" y="0"/>
                      <a:ext cx="7199630" cy="1599565"/>
                    </a:xfrm>
                    <a:prstGeom prst="rect">
                      <a:avLst/>
                    </a:prstGeom>
                    <a:ln>
                      <a:noFill/>
                    </a:ln>
                    <a:extLst>
                      <a:ext uri="{53640926-AAD7-44D8-BBD7-CCE9431645EC}">
                        <a14:shadowObscured xmlns:a14="http://schemas.microsoft.com/office/drawing/2010/main"/>
                      </a:ext>
                    </a:extLst>
                  </pic:spPr>
                </pic:pic>
              </a:graphicData>
            </a:graphic>
          </wp:anchor>
        </w:drawing>
      </w:r>
      <w:r w:rsidRPr="00792B38">
        <w:br w:type="page"/>
      </w:r>
    </w:p>
    <w:p w14:paraId="62D7BAFB" w14:textId="0051B87B" w:rsidR="000E451A" w:rsidRDefault="000E451A" w:rsidP="003B1E92">
      <w:pPr>
        <w:pStyle w:val="Heading7"/>
        <w:framePr w:wrap="around"/>
        <w:numPr>
          <w:ilvl w:val="6"/>
          <w:numId w:val="14"/>
        </w:numPr>
      </w:pPr>
      <w:r>
        <w:lastRenderedPageBreak/>
        <w:br/>
      </w:r>
      <w:bookmarkStart w:id="379" w:name="_Toc164167686"/>
      <w:bookmarkStart w:id="380" w:name="_Ref164167986"/>
      <w:bookmarkStart w:id="381" w:name="_Ref164168011"/>
      <w:bookmarkStart w:id="382" w:name="_Ref164170507"/>
      <w:bookmarkStart w:id="383" w:name="_Ref164174701"/>
      <w:bookmarkStart w:id="384" w:name="_Ref164175191"/>
      <w:bookmarkStart w:id="385" w:name="_Toc164232491"/>
      <w:bookmarkStart w:id="386" w:name="_Ref164239270"/>
      <w:bookmarkStart w:id="387" w:name="_Toc164253027"/>
      <w:bookmarkStart w:id="388" w:name="_Toc164254157"/>
      <w:bookmarkStart w:id="389" w:name="_Toc164256093"/>
      <w:bookmarkStart w:id="390" w:name="_Toc164411258"/>
      <w:bookmarkStart w:id="391" w:name="_Toc164421029"/>
      <w:r w:rsidR="00DD1A91">
        <w:t>Vulnerability</w:t>
      </w:r>
      <w:bookmarkEnd w:id="379"/>
      <w:bookmarkEnd w:id="380"/>
      <w:bookmarkEnd w:id="381"/>
      <w:bookmarkEnd w:id="382"/>
      <w:bookmarkEnd w:id="383"/>
      <w:bookmarkEnd w:id="384"/>
      <w:bookmarkEnd w:id="385"/>
      <w:bookmarkEnd w:id="386"/>
      <w:r w:rsidR="00567685">
        <w:t xml:space="preserve"> Analysis Chapter Report</w:t>
      </w:r>
      <w:bookmarkEnd w:id="387"/>
      <w:bookmarkEnd w:id="388"/>
      <w:bookmarkEnd w:id="389"/>
      <w:bookmarkEnd w:id="390"/>
      <w:bookmarkEnd w:id="391"/>
    </w:p>
    <w:p w14:paraId="092D0F9F" w14:textId="77777777" w:rsidR="000E451A" w:rsidRDefault="000E451A" w:rsidP="00700FC1">
      <w:pPr>
        <w:pStyle w:val="BodyText"/>
      </w:pPr>
    </w:p>
    <w:p w14:paraId="20BCF179" w14:textId="37F76454" w:rsidR="000E451A" w:rsidRDefault="000E451A" w:rsidP="00700FC1">
      <w:pPr>
        <w:pStyle w:val="BodyText"/>
      </w:pPr>
    </w:p>
    <w:p w14:paraId="0B8876F7" w14:textId="77777777" w:rsidR="000E451A" w:rsidRDefault="000E451A" w:rsidP="00700FC1">
      <w:pPr>
        <w:pStyle w:val="BodyText"/>
      </w:pPr>
    </w:p>
    <w:p w14:paraId="0D48AA90" w14:textId="77777777" w:rsidR="000E451A" w:rsidRDefault="000E451A" w:rsidP="00700FC1">
      <w:pPr>
        <w:pStyle w:val="BodyText"/>
      </w:pPr>
    </w:p>
    <w:p w14:paraId="37C41F12" w14:textId="77777777" w:rsidR="000E451A" w:rsidRDefault="000E451A" w:rsidP="00700FC1">
      <w:pPr>
        <w:pStyle w:val="BodyText"/>
      </w:pPr>
    </w:p>
    <w:p w14:paraId="79E8B753" w14:textId="77777777" w:rsidR="000E451A" w:rsidRDefault="000E451A" w:rsidP="00700FC1">
      <w:pPr>
        <w:pStyle w:val="BodyText"/>
      </w:pPr>
    </w:p>
    <w:p w14:paraId="6FCDD76C" w14:textId="77777777" w:rsidR="000E451A" w:rsidRDefault="000E451A" w:rsidP="00700FC1">
      <w:pPr>
        <w:pStyle w:val="BodyText"/>
      </w:pPr>
    </w:p>
    <w:p w14:paraId="46CE3635" w14:textId="77777777" w:rsidR="000E451A" w:rsidRDefault="000E451A" w:rsidP="00700FC1">
      <w:pPr>
        <w:pStyle w:val="BodyText"/>
      </w:pPr>
    </w:p>
    <w:p w14:paraId="65B5D3DB" w14:textId="0E8D2874" w:rsidR="000E451A" w:rsidRPr="00792B38" w:rsidRDefault="006A5B2E" w:rsidP="00824ACF">
      <w:pPr>
        <w:spacing w:before="80" w:after="80"/>
      </w:pPr>
      <w:r>
        <w:rPr>
          <w:rFonts w:eastAsia="Times New Roman" w:cs="Times New Roman"/>
          <w:noProof/>
          <w:szCs w:val="24"/>
          <w:lang w:eastAsia="en-AU"/>
        </w:rPr>
        <w:drawing>
          <wp:anchor distT="0" distB="0" distL="114300" distR="114300" simplePos="0" relativeHeight="251656192" behindDoc="0" locked="0" layoutInCell="1" allowOverlap="1" wp14:anchorId="3AE829D2" wp14:editId="6B6F3EBD">
            <wp:simplePos x="0" y="0"/>
            <wp:positionH relativeFrom="margin">
              <wp:align>center</wp:align>
            </wp:positionH>
            <wp:positionV relativeFrom="paragraph">
              <wp:posOffset>4751425</wp:posOffset>
            </wp:positionV>
            <wp:extent cx="7199630" cy="1599565"/>
            <wp:effectExtent l="0" t="0" r="1270" b="635"/>
            <wp:wrapNone/>
            <wp:docPr id="12499889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988952" name="Picture 1249988952"/>
                    <pic:cNvPicPr>
                      <a:picLocks noChangeAspect="1"/>
                    </pic:cNvPicPr>
                  </pic:nvPicPr>
                  <pic:blipFill rotWithShape="1">
                    <a:blip r:embed="rId69">
                      <a:extLst>
                        <a:ext uri="{28A0092B-C50C-407E-A947-70E740481C1C}">
                          <a14:useLocalDpi xmlns:a14="http://schemas.microsoft.com/office/drawing/2010/main" val="0"/>
                        </a:ext>
                      </a:extLst>
                    </a:blip>
                    <a:srcRect t="84284"/>
                    <a:stretch/>
                  </pic:blipFill>
                  <pic:spPr bwMode="auto">
                    <a:xfrm>
                      <a:off x="0" y="0"/>
                      <a:ext cx="7199630" cy="1599565"/>
                    </a:xfrm>
                    <a:prstGeom prst="rect">
                      <a:avLst/>
                    </a:prstGeom>
                    <a:ln>
                      <a:noFill/>
                    </a:ln>
                    <a:extLst>
                      <a:ext uri="{53640926-AAD7-44D8-BBD7-CCE9431645EC}">
                        <a14:shadowObscured xmlns:a14="http://schemas.microsoft.com/office/drawing/2010/main"/>
                      </a:ext>
                    </a:extLst>
                  </pic:spPr>
                </pic:pic>
              </a:graphicData>
            </a:graphic>
          </wp:anchor>
        </w:drawing>
      </w:r>
      <w:r w:rsidR="000E451A" w:rsidRPr="00792B38">
        <w:br w:type="page"/>
      </w:r>
    </w:p>
    <w:p w14:paraId="0B8D6968" w14:textId="7B38CFA0" w:rsidR="000E451A" w:rsidRDefault="000E451A" w:rsidP="003B1E92">
      <w:pPr>
        <w:pStyle w:val="Heading7"/>
        <w:framePr w:wrap="around"/>
        <w:numPr>
          <w:ilvl w:val="6"/>
          <w:numId w:val="14"/>
        </w:numPr>
      </w:pPr>
      <w:r>
        <w:lastRenderedPageBreak/>
        <w:br/>
      </w:r>
      <w:bookmarkStart w:id="392" w:name="_Toc164167687"/>
      <w:bookmarkStart w:id="393" w:name="_Ref164170599"/>
      <w:bookmarkStart w:id="394" w:name="_Ref164174625"/>
      <w:bookmarkStart w:id="395" w:name="_Toc164232492"/>
      <w:bookmarkStart w:id="396" w:name="_Ref164232716"/>
      <w:bookmarkStart w:id="397" w:name="_Toc164253028"/>
      <w:bookmarkStart w:id="398" w:name="_Toc164254158"/>
      <w:bookmarkStart w:id="399" w:name="_Toc164256094"/>
      <w:bookmarkStart w:id="400" w:name="_Toc164411259"/>
      <w:bookmarkStart w:id="401" w:name="_Toc164421030"/>
      <w:r w:rsidR="00DD1A91">
        <w:t>Risk Evaluation And Treatment</w:t>
      </w:r>
      <w:bookmarkEnd w:id="392"/>
      <w:bookmarkEnd w:id="393"/>
      <w:bookmarkEnd w:id="394"/>
      <w:bookmarkEnd w:id="395"/>
      <w:bookmarkEnd w:id="396"/>
      <w:r w:rsidR="00567685">
        <w:t xml:space="preserve"> chapter report</w:t>
      </w:r>
      <w:bookmarkEnd w:id="397"/>
      <w:bookmarkEnd w:id="398"/>
      <w:bookmarkEnd w:id="399"/>
      <w:bookmarkEnd w:id="400"/>
      <w:bookmarkEnd w:id="401"/>
    </w:p>
    <w:p w14:paraId="4B11687D" w14:textId="77777777" w:rsidR="000E451A" w:rsidRDefault="000E451A" w:rsidP="00700FC1">
      <w:pPr>
        <w:pStyle w:val="BodyText"/>
      </w:pPr>
    </w:p>
    <w:p w14:paraId="75E2559B" w14:textId="29E52B57" w:rsidR="000E451A" w:rsidRDefault="000E451A" w:rsidP="00700FC1">
      <w:pPr>
        <w:pStyle w:val="BodyText"/>
      </w:pPr>
    </w:p>
    <w:p w14:paraId="06FAFF1E" w14:textId="77777777" w:rsidR="000E451A" w:rsidRDefault="000E451A" w:rsidP="00700FC1">
      <w:pPr>
        <w:pStyle w:val="BodyText"/>
      </w:pPr>
    </w:p>
    <w:p w14:paraId="6619D346" w14:textId="77777777" w:rsidR="000E451A" w:rsidRDefault="000E451A" w:rsidP="00700FC1">
      <w:pPr>
        <w:pStyle w:val="BodyText"/>
      </w:pPr>
    </w:p>
    <w:p w14:paraId="07CB192C" w14:textId="77777777" w:rsidR="000E451A" w:rsidRDefault="000E451A" w:rsidP="00700FC1">
      <w:pPr>
        <w:pStyle w:val="BodyText"/>
      </w:pPr>
    </w:p>
    <w:p w14:paraId="15916050" w14:textId="77777777" w:rsidR="000E451A" w:rsidRDefault="000E451A" w:rsidP="00700FC1">
      <w:pPr>
        <w:pStyle w:val="BodyText"/>
      </w:pPr>
    </w:p>
    <w:p w14:paraId="0528A0CD" w14:textId="77777777" w:rsidR="000E451A" w:rsidRDefault="000E451A" w:rsidP="00700FC1">
      <w:pPr>
        <w:pStyle w:val="BodyText"/>
      </w:pPr>
    </w:p>
    <w:p w14:paraId="02AD93BF" w14:textId="77777777" w:rsidR="000E451A" w:rsidRDefault="000E451A" w:rsidP="00700FC1">
      <w:pPr>
        <w:pStyle w:val="BodyText"/>
      </w:pPr>
    </w:p>
    <w:p w14:paraId="5809AD80" w14:textId="77777777" w:rsidR="000E451A" w:rsidRPr="00A2461A" w:rsidRDefault="000E451A" w:rsidP="00700FC1">
      <w:pPr>
        <w:pStyle w:val="BodyText"/>
      </w:pPr>
    </w:p>
    <w:p w14:paraId="0A37E246" w14:textId="22A57484" w:rsidR="00890D51" w:rsidRPr="00792B38" w:rsidRDefault="000E451A" w:rsidP="00824ACF">
      <w:pPr>
        <w:spacing w:before="80" w:after="80"/>
      </w:pPr>
      <w:r>
        <w:rPr>
          <w:noProof/>
        </w:rPr>
        <w:drawing>
          <wp:anchor distT="0" distB="0" distL="114300" distR="114300" simplePos="0" relativeHeight="251657216" behindDoc="0" locked="0" layoutInCell="1" allowOverlap="1" wp14:anchorId="6108E039" wp14:editId="25C6BC64">
            <wp:simplePos x="0" y="0"/>
            <wp:positionH relativeFrom="column">
              <wp:posOffset>-496585</wp:posOffset>
            </wp:positionH>
            <wp:positionV relativeFrom="paragraph">
              <wp:posOffset>4199225</wp:posOffset>
            </wp:positionV>
            <wp:extent cx="7199630" cy="1599565"/>
            <wp:effectExtent l="0" t="0" r="1270" b="635"/>
            <wp:wrapNone/>
            <wp:docPr id="14672886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288611" name="Picture 1467288611"/>
                    <pic:cNvPicPr>
                      <a:picLocks noChangeAspect="1"/>
                    </pic:cNvPicPr>
                  </pic:nvPicPr>
                  <pic:blipFill rotWithShape="1">
                    <a:blip r:embed="rId69">
                      <a:extLst>
                        <a:ext uri="{28A0092B-C50C-407E-A947-70E740481C1C}">
                          <a14:useLocalDpi xmlns:a14="http://schemas.microsoft.com/office/drawing/2010/main" val="0"/>
                        </a:ext>
                      </a:extLst>
                    </a:blip>
                    <a:srcRect t="84284"/>
                    <a:stretch/>
                  </pic:blipFill>
                  <pic:spPr bwMode="auto">
                    <a:xfrm>
                      <a:off x="0" y="0"/>
                      <a:ext cx="7199630" cy="1599565"/>
                    </a:xfrm>
                    <a:prstGeom prst="rect">
                      <a:avLst/>
                    </a:prstGeom>
                    <a:ln>
                      <a:noFill/>
                    </a:ln>
                    <a:extLst>
                      <a:ext uri="{53640926-AAD7-44D8-BBD7-CCE9431645EC}">
                        <a14:shadowObscured xmlns:a14="http://schemas.microsoft.com/office/drawing/2010/main"/>
                      </a:ext>
                    </a:extLst>
                  </pic:spPr>
                </pic:pic>
              </a:graphicData>
            </a:graphic>
          </wp:anchor>
        </w:drawing>
      </w:r>
      <w:r w:rsidR="00890D51" w:rsidRPr="00792B38">
        <w:br w:type="page"/>
      </w:r>
    </w:p>
    <w:p w14:paraId="1CF05CE4" w14:textId="397F4114" w:rsidR="00890D51" w:rsidRDefault="00890D51" w:rsidP="003B1E92">
      <w:pPr>
        <w:pStyle w:val="Heading7"/>
        <w:framePr w:wrap="around"/>
        <w:numPr>
          <w:ilvl w:val="6"/>
          <w:numId w:val="14"/>
        </w:numPr>
      </w:pPr>
      <w:r>
        <w:lastRenderedPageBreak/>
        <w:br/>
      </w:r>
      <w:bookmarkStart w:id="402" w:name="_Toc164167688"/>
      <w:bookmarkStart w:id="403" w:name="_Toc164232493"/>
      <w:bookmarkStart w:id="404" w:name="_Ref164240450"/>
      <w:bookmarkStart w:id="405" w:name="_Ref164240459"/>
      <w:bookmarkStart w:id="406" w:name="_Toc164253029"/>
      <w:bookmarkStart w:id="407" w:name="_Toc164254159"/>
      <w:bookmarkStart w:id="408" w:name="_Toc164256095"/>
      <w:bookmarkStart w:id="409" w:name="_Toc164411260"/>
      <w:bookmarkStart w:id="410" w:name="_Toc164421031"/>
      <w:r w:rsidR="00567685">
        <w:t>Assessment of Risk Treatment Options Chapter Report</w:t>
      </w:r>
      <w:bookmarkEnd w:id="402"/>
      <w:bookmarkEnd w:id="403"/>
      <w:bookmarkEnd w:id="404"/>
      <w:bookmarkEnd w:id="405"/>
      <w:bookmarkEnd w:id="406"/>
      <w:bookmarkEnd w:id="407"/>
      <w:bookmarkEnd w:id="408"/>
      <w:bookmarkEnd w:id="409"/>
      <w:bookmarkEnd w:id="410"/>
    </w:p>
    <w:p w14:paraId="4C2858EA" w14:textId="77777777" w:rsidR="00890D51" w:rsidRDefault="00890D51" w:rsidP="00700FC1">
      <w:pPr>
        <w:pStyle w:val="BodyText"/>
      </w:pPr>
    </w:p>
    <w:p w14:paraId="42E7EACA" w14:textId="1F1750B7" w:rsidR="00890D51" w:rsidRDefault="00890D51" w:rsidP="00700FC1">
      <w:pPr>
        <w:pStyle w:val="BodyText"/>
      </w:pPr>
    </w:p>
    <w:p w14:paraId="562722CB" w14:textId="77777777" w:rsidR="00890D51" w:rsidRDefault="00890D51" w:rsidP="00700FC1">
      <w:pPr>
        <w:pStyle w:val="BodyText"/>
      </w:pPr>
    </w:p>
    <w:p w14:paraId="366EB6AA" w14:textId="77777777" w:rsidR="00890D51" w:rsidRDefault="00890D51" w:rsidP="00700FC1">
      <w:pPr>
        <w:pStyle w:val="BodyText"/>
      </w:pPr>
    </w:p>
    <w:p w14:paraId="50626755" w14:textId="77777777" w:rsidR="00890D51" w:rsidRDefault="00890D51" w:rsidP="00700FC1">
      <w:pPr>
        <w:pStyle w:val="BodyText"/>
      </w:pPr>
    </w:p>
    <w:p w14:paraId="6A22FDF8" w14:textId="77777777" w:rsidR="00890D51" w:rsidRDefault="00890D51" w:rsidP="00700FC1">
      <w:pPr>
        <w:pStyle w:val="BodyText"/>
      </w:pPr>
    </w:p>
    <w:p w14:paraId="5B7607FB" w14:textId="77777777" w:rsidR="00890D51" w:rsidRDefault="00890D51" w:rsidP="00700FC1">
      <w:pPr>
        <w:pStyle w:val="BodyText"/>
      </w:pPr>
    </w:p>
    <w:p w14:paraId="5A1D0FCF" w14:textId="77777777" w:rsidR="00890D51" w:rsidRDefault="00890D51" w:rsidP="00700FC1">
      <w:pPr>
        <w:pStyle w:val="BodyText"/>
      </w:pPr>
    </w:p>
    <w:p w14:paraId="23254E7B" w14:textId="5D18643D" w:rsidR="00890D51" w:rsidRPr="00792B38" w:rsidRDefault="00890D51" w:rsidP="00824ACF">
      <w:pPr>
        <w:spacing w:before="80" w:after="80"/>
      </w:pPr>
      <w:r>
        <w:rPr>
          <w:noProof/>
        </w:rPr>
        <w:drawing>
          <wp:anchor distT="0" distB="0" distL="114300" distR="114300" simplePos="0" relativeHeight="251661312" behindDoc="0" locked="0" layoutInCell="1" allowOverlap="1" wp14:anchorId="1FF88B94" wp14:editId="6798E61B">
            <wp:simplePos x="0" y="0"/>
            <wp:positionH relativeFrom="column">
              <wp:posOffset>-539337</wp:posOffset>
            </wp:positionH>
            <wp:positionV relativeFrom="paragraph">
              <wp:posOffset>4571675</wp:posOffset>
            </wp:positionV>
            <wp:extent cx="7199630" cy="1599565"/>
            <wp:effectExtent l="0" t="0" r="1270" b="635"/>
            <wp:wrapNone/>
            <wp:docPr id="7553044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04427" name="Picture 755304427"/>
                    <pic:cNvPicPr>
                      <a:picLocks noChangeAspect="1"/>
                    </pic:cNvPicPr>
                  </pic:nvPicPr>
                  <pic:blipFill rotWithShape="1">
                    <a:blip r:embed="rId69">
                      <a:extLst>
                        <a:ext uri="{28A0092B-C50C-407E-A947-70E740481C1C}">
                          <a14:useLocalDpi xmlns:a14="http://schemas.microsoft.com/office/drawing/2010/main" val="0"/>
                        </a:ext>
                      </a:extLst>
                    </a:blip>
                    <a:srcRect t="84284"/>
                    <a:stretch/>
                  </pic:blipFill>
                  <pic:spPr bwMode="auto">
                    <a:xfrm>
                      <a:off x="0" y="0"/>
                      <a:ext cx="7199630" cy="1599565"/>
                    </a:xfrm>
                    <a:prstGeom prst="rect">
                      <a:avLst/>
                    </a:prstGeom>
                    <a:ln>
                      <a:noFill/>
                    </a:ln>
                    <a:extLst>
                      <a:ext uri="{53640926-AAD7-44D8-BBD7-CCE9431645EC}">
                        <a14:shadowObscured xmlns:a14="http://schemas.microsoft.com/office/drawing/2010/main"/>
                      </a:ext>
                    </a:extLst>
                  </pic:spPr>
                </pic:pic>
              </a:graphicData>
            </a:graphic>
          </wp:anchor>
        </w:drawing>
      </w:r>
      <w:r w:rsidRPr="00792B38">
        <w:br w:type="page"/>
      </w:r>
    </w:p>
    <w:p w14:paraId="694080D9" w14:textId="28C22573" w:rsidR="00890D51" w:rsidRDefault="00890D51" w:rsidP="003B1E92">
      <w:pPr>
        <w:pStyle w:val="Heading7"/>
        <w:framePr w:wrap="around"/>
        <w:numPr>
          <w:ilvl w:val="6"/>
          <w:numId w:val="14"/>
        </w:numPr>
      </w:pPr>
      <w:r>
        <w:lastRenderedPageBreak/>
        <w:br/>
      </w:r>
      <w:bookmarkStart w:id="411" w:name="_Toc164167689"/>
      <w:bookmarkStart w:id="412" w:name="_Ref164173413"/>
      <w:bookmarkStart w:id="413" w:name="_Ref164175318"/>
      <w:bookmarkStart w:id="414" w:name="_Toc164232494"/>
      <w:bookmarkStart w:id="415" w:name="_Ref164241740"/>
      <w:bookmarkStart w:id="416" w:name="_Toc164253030"/>
      <w:bookmarkStart w:id="417" w:name="_Toc164254160"/>
      <w:bookmarkStart w:id="418" w:name="_Toc164256096"/>
      <w:bookmarkStart w:id="419" w:name="_Toc164411261"/>
      <w:bookmarkStart w:id="420" w:name="_Toc164421032"/>
      <w:r>
        <w:t>Implementation</w:t>
      </w:r>
      <w:bookmarkEnd w:id="411"/>
      <w:bookmarkEnd w:id="412"/>
      <w:bookmarkEnd w:id="413"/>
      <w:bookmarkEnd w:id="414"/>
      <w:bookmarkEnd w:id="415"/>
      <w:r w:rsidR="00567685">
        <w:t xml:space="preserve"> and Monitoring Chapter Report</w:t>
      </w:r>
      <w:bookmarkEnd w:id="416"/>
      <w:bookmarkEnd w:id="417"/>
      <w:bookmarkEnd w:id="418"/>
      <w:bookmarkEnd w:id="419"/>
      <w:bookmarkEnd w:id="420"/>
    </w:p>
    <w:p w14:paraId="6A9BFF90" w14:textId="77777777" w:rsidR="00890D51" w:rsidRDefault="00890D51" w:rsidP="00700FC1">
      <w:pPr>
        <w:pStyle w:val="BodyText"/>
      </w:pPr>
    </w:p>
    <w:p w14:paraId="7DA82561" w14:textId="276C2EBB" w:rsidR="00890D51" w:rsidRDefault="00890D51" w:rsidP="00700FC1">
      <w:pPr>
        <w:pStyle w:val="BodyText"/>
      </w:pPr>
    </w:p>
    <w:p w14:paraId="36AEF3EC" w14:textId="77777777" w:rsidR="00890D51" w:rsidRDefault="00890D51" w:rsidP="00700FC1">
      <w:pPr>
        <w:pStyle w:val="BodyText"/>
      </w:pPr>
    </w:p>
    <w:p w14:paraId="70D07DF9" w14:textId="77777777" w:rsidR="00890D51" w:rsidRDefault="00890D51" w:rsidP="00700FC1">
      <w:pPr>
        <w:pStyle w:val="BodyText"/>
      </w:pPr>
    </w:p>
    <w:p w14:paraId="097DA01D" w14:textId="77777777" w:rsidR="00890D51" w:rsidRDefault="00890D51" w:rsidP="00700FC1">
      <w:pPr>
        <w:pStyle w:val="BodyText"/>
      </w:pPr>
    </w:p>
    <w:p w14:paraId="33742651" w14:textId="77777777" w:rsidR="00890D51" w:rsidRDefault="00890D51" w:rsidP="00700FC1">
      <w:pPr>
        <w:pStyle w:val="BodyText"/>
      </w:pPr>
    </w:p>
    <w:p w14:paraId="09EECA98" w14:textId="77777777" w:rsidR="00890D51" w:rsidRDefault="00890D51" w:rsidP="00700FC1">
      <w:pPr>
        <w:pStyle w:val="BodyText"/>
      </w:pPr>
    </w:p>
    <w:p w14:paraId="5E5D67F3" w14:textId="03D82DC3" w:rsidR="008647EF" w:rsidRPr="00792B38" w:rsidRDefault="002E55F9" w:rsidP="00824ACF">
      <w:pPr>
        <w:spacing w:before="80" w:after="80"/>
      </w:pPr>
      <w:r>
        <w:rPr>
          <w:rFonts w:eastAsia="Times New Roman" w:cs="Times New Roman"/>
          <w:noProof/>
          <w:szCs w:val="24"/>
          <w:lang w:eastAsia="en-AU"/>
        </w:rPr>
        <w:drawing>
          <wp:anchor distT="0" distB="0" distL="114300" distR="114300" simplePos="0" relativeHeight="251667456" behindDoc="0" locked="0" layoutInCell="1" allowOverlap="1" wp14:anchorId="25A37E8F" wp14:editId="39625C18">
            <wp:simplePos x="0" y="0"/>
            <wp:positionH relativeFrom="column">
              <wp:posOffset>-574158</wp:posOffset>
            </wp:positionH>
            <wp:positionV relativeFrom="paragraph">
              <wp:posOffset>5817456</wp:posOffset>
            </wp:positionV>
            <wp:extent cx="7199630" cy="1599565"/>
            <wp:effectExtent l="0" t="0" r="1270" b="635"/>
            <wp:wrapNone/>
            <wp:docPr id="6206227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04427" name="Picture 755304427"/>
                    <pic:cNvPicPr>
                      <a:picLocks noChangeAspect="1"/>
                    </pic:cNvPicPr>
                  </pic:nvPicPr>
                  <pic:blipFill rotWithShape="1">
                    <a:blip r:embed="rId69">
                      <a:extLst>
                        <a:ext uri="{28A0092B-C50C-407E-A947-70E740481C1C}">
                          <a14:useLocalDpi xmlns:a14="http://schemas.microsoft.com/office/drawing/2010/main" val="0"/>
                        </a:ext>
                      </a:extLst>
                    </a:blip>
                    <a:srcRect t="84284"/>
                    <a:stretch/>
                  </pic:blipFill>
                  <pic:spPr bwMode="auto">
                    <a:xfrm>
                      <a:off x="0" y="0"/>
                      <a:ext cx="7199630" cy="1599565"/>
                    </a:xfrm>
                    <a:prstGeom prst="rect">
                      <a:avLst/>
                    </a:prstGeom>
                    <a:ln>
                      <a:noFill/>
                    </a:ln>
                    <a:extLst>
                      <a:ext uri="{53640926-AAD7-44D8-BBD7-CCE9431645EC}">
                        <a14:shadowObscured xmlns:a14="http://schemas.microsoft.com/office/drawing/2010/main"/>
                      </a:ext>
                    </a:extLst>
                  </pic:spPr>
                </pic:pic>
              </a:graphicData>
            </a:graphic>
          </wp:anchor>
        </w:drawing>
      </w:r>
    </w:p>
    <w:p w14:paraId="4069B0D7" w14:textId="3B9F1394" w:rsidR="008647EF" w:rsidRDefault="008647EF" w:rsidP="003B1E92">
      <w:pPr>
        <w:pStyle w:val="Heading7"/>
        <w:framePr w:wrap="around"/>
        <w:numPr>
          <w:ilvl w:val="6"/>
          <w:numId w:val="14"/>
        </w:numPr>
      </w:pPr>
      <w:r>
        <w:lastRenderedPageBreak/>
        <w:br/>
      </w:r>
      <w:bookmarkStart w:id="421" w:name="_Ref164420778"/>
      <w:bookmarkStart w:id="422" w:name="_Toc164421033"/>
      <w:r>
        <w:t>Coastal Hazard Local Planning Policy</w:t>
      </w:r>
      <w:bookmarkEnd w:id="421"/>
      <w:bookmarkEnd w:id="422"/>
    </w:p>
    <w:p w14:paraId="31B20099" w14:textId="77777777" w:rsidR="008647EF" w:rsidRDefault="008647EF" w:rsidP="00700FC1">
      <w:pPr>
        <w:pStyle w:val="BodyText"/>
      </w:pPr>
    </w:p>
    <w:p w14:paraId="14CDB4EB" w14:textId="4FDB7B40" w:rsidR="008647EF" w:rsidRDefault="008647EF" w:rsidP="00700FC1">
      <w:pPr>
        <w:pStyle w:val="BodyText"/>
      </w:pPr>
    </w:p>
    <w:p w14:paraId="32A24BDA" w14:textId="77777777" w:rsidR="008647EF" w:rsidRDefault="008647EF" w:rsidP="00700FC1">
      <w:pPr>
        <w:pStyle w:val="BodyText"/>
      </w:pPr>
    </w:p>
    <w:p w14:paraId="1744B1AE" w14:textId="77777777" w:rsidR="008647EF" w:rsidRDefault="008647EF" w:rsidP="00700FC1">
      <w:pPr>
        <w:pStyle w:val="BodyText"/>
      </w:pPr>
    </w:p>
    <w:p w14:paraId="41611EA0" w14:textId="77777777" w:rsidR="008647EF" w:rsidRDefault="008647EF" w:rsidP="00700FC1">
      <w:pPr>
        <w:pStyle w:val="BodyText"/>
      </w:pPr>
    </w:p>
    <w:p w14:paraId="45E0C5BA" w14:textId="77777777" w:rsidR="008647EF" w:rsidRDefault="008647EF" w:rsidP="00700FC1">
      <w:pPr>
        <w:pStyle w:val="BodyText"/>
      </w:pPr>
    </w:p>
    <w:p w14:paraId="5B0E5619" w14:textId="77777777" w:rsidR="008647EF" w:rsidRDefault="008647EF" w:rsidP="00700FC1">
      <w:pPr>
        <w:pStyle w:val="BodyText"/>
      </w:pPr>
    </w:p>
    <w:p w14:paraId="5009DBA4" w14:textId="77777777" w:rsidR="008647EF" w:rsidRDefault="008647EF" w:rsidP="00700FC1">
      <w:pPr>
        <w:pStyle w:val="BodyText"/>
      </w:pPr>
    </w:p>
    <w:p w14:paraId="253C0543" w14:textId="77777777" w:rsidR="008647EF" w:rsidRPr="00A2461A" w:rsidRDefault="008647EF" w:rsidP="00700FC1">
      <w:pPr>
        <w:pStyle w:val="BodyText"/>
      </w:pPr>
    </w:p>
    <w:p w14:paraId="0AA29749" w14:textId="7AB265A4" w:rsidR="008647EF" w:rsidRDefault="008647EF" w:rsidP="00700FC1">
      <w:pPr>
        <w:spacing w:before="80" w:after="80"/>
        <w:rPr>
          <w:rFonts w:eastAsia="Times New Roman"/>
          <w:szCs w:val="24"/>
        </w:rPr>
      </w:pPr>
      <w:r>
        <w:rPr>
          <w:noProof/>
        </w:rPr>
        <w:drawing>
          <wp:anchor distT="0" distB="0" distL="114300" distR="114300" simplePos="0" relativeHeight="251665408" behindDoc="0" locked="0" layoutInCell="1" allowOverlap="1" wp14:anchorId="28F230A0" wp14:editId="2D24894C">
            <wp:simplePos x="0" y="0"/>
            <wp:positionH relativeFrom="margin">
              <wp:align>center</wp:align>
            </wp:positionH>
            <wp:positionV relativeFrom="paragraph">
              <wp:posOffset>4545079</wp:posOffset>
            </wp:positionV>
            <wp:extent cx="7199630" cy="1599565"/>
            <wp:effectExtent l="0" t="0" r="1270" b="635"/>
            <wp:wrapNone/>
            <wp:docPr id="33562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2409" name="Picture 33562409"/>
                    <pic:cNvPicPr>
                      <a:picLocks noChangeAspect="1"/>
                    </pic:cNvPicPr>
                  </pic:nvPicPr>
                  <pic:blipFill rotWithShape="1">
                    <a:blip r:embed="rId69">
                      <a:extLst>
                        <a:ext uri="{28A0092B-C50C-407E-A947-70E740481C1C}">
                          <a14:useLocalDpi xmlns:a14="http://schemas.microsoft.com/office/drawing/2010/main" val="0"/>
                        </a:ext>
                      </a:extLst>
                    </a:blip>
                    <a:srcRect t="84284"/>
                    <a:stretch/>
                  </pic:blipFill>
                  <pic:spPr bwMode="auto">
                    <a:xfrm>
                      <a:off x="0" y="0"/>
                      <a:ext cx="7199630" cy="1599565"/>
                    </a:xfrm>
                    <a:prstGeom prst="rect">
                      <a:avLst/>
                    </a:prstGeom>
                    <a:ln>
                      <a:noFill/>
                    </a:ln>
                    <a:extLst>
                      <a:ext uri="{53640926-AAD7-44D8-BBD7-CCE9431645EC}">
                        <a14:shadowObscured xmlns:a14="http://schemas.microsoft.com/office/drawing/2010/main"/>
                      </a:ext>
                    </a:extLst>
                  </pic:spPr>
                </pic:pic>
              </a:graphicData>
            </a:graphic>
          </wp:anchor>
        </w:drawing>
      </w:r>
      <w:r>
        <w:br w:type="page"/>
      </w:r>
    </w:p>
    <w:tbl>
      <w:tblPr>
        <w:tblStyle w:val="BlueTable"/>
        <w:tblW w:w="5000" w:type="pct"/>
        <w:tblLayout w:type="fixed"/>
        <w:tblLook w:val="0620" w:firstRow="1" w:lastRow="0" w:firstColumn="0" w:lastColumn="0" w:noHBand="1" w:noVBand="1"/>
      </w:tblPr>
      <w:tblGrid>
        <w:gridCol w:w="9628"/>
      </w:tblGrid>
      <w:tr w:rsidR="00615155" w14:paraId="31C21DCA" w14:textId="77777777" w:rsidTr="001D05D4">
        <w:trPr>
          <w:cnfStyle w:val="100000000000" w:firstRow="1" w:lastRow="0" w:firstColumn="0" w:lastColumn="0" w:oddVBand="0" w:evenVBand="0" w:oddHBand="0" w:evenHBand="0" w:firstRowFirstColumn="0" w:firstRowLastColumn="0" w:lastRowFirstColumn="0" w:lastRowLastColumn="0"/>
        </w:trPr>
        <w:tc>
          <w:tcPr>
            <w:tcW w:w="9628" w:type="dxa"/>
          </w:tcPr>
          <w:p w14:paraId="6D0D494E" w14:textId="77777777" w:rsidR="00615155" w:rsidRDefault="00615155" w:rsidP="001D05D4">
            <w:pPr>
              <w:pStyle w:val="TableHeading"/>
            </w:pPr>
            <w:r w:rsidRPr="00E554F9">
              <w:lastRenderedPageBreak/>
              <w:t>PRH Coastal Hazard Local Planning Policy</w:t>
            </w:r>
          </w:p>
        </w:tc>
      </w:tr>
      <w:tr w:rsidR="00615155" w14:paraId="5FA218A0" w14:textId="77777777" w:rsidTr="001D05D4">
        <w:tc>
          <w:tcPr>
            <w:tcW w:w="9628" w:type="dxa"/>
          </w:tcPr>
          <w:p w14:paraId="7EFD89F3" w14:textId="77777777" w:rsidR="00615155" w:rsidRPr="009E0A7B" w:rsidRDefault="00615155" w:rsidP="001D05D4">
            <w:pPr>
              <w:pStyle w:val="TableText"/>
              <w:rPr>
                <w:b/>
                <w:bCs/>
                <w:color w:val="000000" w:themeColor="text1"/>
              </w:rPr>
            </w:pPr>
            <w:r w:rsidRPr="00E554F9">
              <w:rPr>
                <w:b/>
                <w:bCs/>
                <w:color w:val="000000" w:themeColor="text1"/>
              </w:rPr>
              <w:t>Policy Application</w:t>
            </w:r>
          </w:p>
        </w:tc>
      </w:tr>
      <w:tr w:rsidR="00615155" w14:paraId="3E7286F1" w14:textId="77777777" w:rsidTr="001D05D4">
        <w:tc>
          <w:tcPr>
            <w:tcW w:w="9628" w:type="dxa"/>
          </w:tcPr>
          <w:p w14:paraId="68979AF3" w14:textId="77777777" w:rsidR="00615155" w:rsidRDefault="00615155" w:rsidP="001D05D4">
            <w:pPr>
              <w:pStyle w:val="TableText"/>
            </w:pPr>
            <w:r w:rsidRPr="00E461C3">
              <w:t>This policy applies to all land with Special Control Area 16 - Princess Royal Harbour Coastal Hazard Area (SCA 16), which is that land identified as being subject to coastal hazards. The extent of SCA 16 is shown on the plan in Appendix 1.</w:t>
            </w:r>
          </w:p>
          <w:p w14:paraId="1B203A8A" w14:textId="77777777" w:rsidR="00615155" w:rsidRPr="009E0A7B" w:rsidRDefault="00615155" w:rsidP="001D05D4">
            <w:pPr>
              <w:pStyle w:val="TableText"/>
              <w:rPr>
                <w:b/>
                <w:bCs/>
                <w:color w:val="000000" w:themeColor="text1"/>
              </w:rPr>
            </w:pPr>
            <w:r>
              <w:t>The policy applies to all strategic planning, subdivision and development proposals for land within SCA 16.</w:t>
            </w:r>
          </w:p>
        </w:tc>
      </w:tr>
      <w:tr w:rsidR="00615155" w14:paraId="4D663626" w14:textId="77777777" w:rsidTr="001D05D4">
        <w:tc>
          <w:tcPr>
            <w:tcW w:w="9628" w:type="dxa"/>
          </w:tcPr>
          <w:p w14:paraId="4AAF97FA" w14:textId="77777777" w:rsidR="00615155" w:rsidRPr="009E0A7B" w:rsidRDefault="00615155" w:rsidP="001D05D4">
            <w:pPr>
              <w:pStyle w:val="TableText"/>
              <w:rPr>
                <w:b/>
                <w:bCs/>
                <w:color w:val="000000" w:themeColor="text1"/>
              </w:rPr>
            </w:pPr>
            <w:r w:rsidRPr="00E554F9">
              <w:rPr>
                <w:b/>
                <w:bCs/>
                <w:color w:val="000000" w:themeColor="text1"/>
              </w:rPr>
              <w:t>Policy Objectives</w:t>
            </w:r>
          </w:p>
        </w:tc>
      </w:tr>
      <w:tr w:rsidR="00615155" w14:paraId="2CDD7A81" w14:textId="77777777" w:rsidTr="001D05D4">
        <w:tc>
          <w:tcPr>
            <w:tcW w:w="9628" w:type="dxa"/>
          </w:tcPr>
          <w:p w14:paraId="653831F5" w14:textId="77777777" w:rsidR="00615155" w:rsidRDefault="00615155" w:rsidP="001D05D4">
            <w:pPr>
              <w:pStyle w:val="TableNumber"/>
              <w:numPr>
                <w:ilvl w:val="0"/>
                <w:numId w:val="30"/>
              </w:numPr>
            </w:pPr>
            <w:r>
              <w:t>To identify land within Princess Royal Harbour at risk of coastal erosion and inundation by 2122.</w:t>
            </w:r>
          </w:p>
          <w:p w14:paraId="37E18242" w14:textId="77777777" w:rsidR="00615155" w:rsidRDefault="00615155" w:rsidP="001D05D4">
            <w:pPr>
              <w:pStyle w:val="TableNumber"/>
              <w:numPr>
                <w:ilvl w:val="0"/>
                <w:numId w:val="30"/>
              </w:numPr>
            </w:pPr>
            <w:r w:rsidRPr="00326C01">
              <w:t>To ensure land in the coastal zone is continuously available for coastal foreshore management, public access, recreation and conservation</w:t>
            </w:r>
            <w:r>
              <w:t xml:space="preserve"> purposes.</w:t>
            </w:r>
          </w:p>
          <w:p w14:paraId="614EFA49" w14:textId="77777777" w:rsidR="00615155" w:rsidRDefault="00615155" w:rsidP="001D05D4">
            <w:pPr>
              <w:pStyle w:val="TableNumber"/>
              <w:numPr>
                <w:ilvl w:val="0"/>
                <w:numId w:val="30"/>
              </w:numPr>
            </w:pPr>
            <w:r w:rsidRPr="00326C01">
              <w:t xml:space="preserve">To ensure public </w:t>
            </w:r>
            <w:r>
              <w:t xml:space="preserve">health and </w:t>
            </w:r>
            <w:r w:rsidRPr="00326C01">
              <w:t xml:space="preserve">safety and reduce risk associated with </w:t>
            </w:r>
            <w:r>
              <w:t xml:space="preserve">coastal </w:t>
            </w:r>
            <w:r w:rsidRPr="00326C01">
              <w:t>erosion</w:t>
            </w:r>
            <w:r>
              <w:t xml:space="preserve"> and </w:t>
            </w:r>
            <w:r w:rsidRPr="00326C01">
              <w:t>inundation</w:t>
            </w:r>
            <w:r>
              <w:t>.</w:t>
            </w:r>
          </w:p>
          <w:p w14:paraId="2DE4BA55" w14:textId="77777777" w:rsidR="00615155" w:rsidRDefault="00615155" w:rsidP="001D05D4">
            <w:pPr>
              <w:pStyle w:val="TableNumber"/>
              <w:numPr>
                <w:ilvl w:val="0"/>
                <w:numId w:val="30"/>
              </w:numPr>
            </w:pPr>
            <w:r w:rsidRPr="00326C01">
              <w:t xml:space="preserve">To avoid inappropriate land use and development of land at risk of </w:t>
            </w:r>
            <w:r>
              <w:t xml:space="preserve">coastal </w:t>
            </w:r>
            <w:r w:rsidRPr="00326C01">
              <w:t xml:space="preserve">erosion </w:t>
            </w:r>
            <w:r>
              <w:t xml:space="preserve">and </w:t>
            </w:r>
            <w:r w:rsidRPr="00326C01">
              <w:t>inundation.</w:t>
            </w:r>
          </w:p>
          <w:p w14:paraId="3ACD135D" w14:textId="77777777" w:rsidR="00615155" w:rsidRDefault="00615155" w:rsidP="001D05D4">
            <w:pPr>
              <w:pStyle w:val="TableNumber"/>
              <w:numPr>
                <w:ilvl w:val="0"/>
                <w:numId w:val="30"/>
              </w:numPr>
            </w:pPr>
            <w:r w:rsidRPr="00326C01">
              <w:t>To protect new development from the impacts of</w:t>
            </w:r>
            <w:r>
              <w:t xml:space="preserve"> coastal</w:t>
            </w:r>
            <w:r w:rsidRPr="00326C01">
              <w:t xml:space="preserve"> erosion</w:t>
            </w:r>
            <w:r>
              <w:t xml:space="preserve"> and </w:t>
            </w:r>
            <w:r w:rsidRPr="00326C01">
              <w:t>inundation.</w:t>
            </w:r>
          </w:p>
          <w:p w14:paraId="686CB15F" w14:textId="77777777" w:rsidR="00615155" w:rsidRPr="00E644AC" w:rsidRDefault="00615155" w:rsidP="001D05D4">
            <w:pPr>
              <w:pStyle w:val="TableNumber"/>
              <w:numPr>
                <w:ilvl w:val="0"/>
                <w:numId w:val="30"/>
              </w:numPr>
            </w:pPr>
            <w:r>
              <w:t>To ensure coastal process considerations are taken into account in preparing strategic planning proposals and in assessing subdivision and development applications.</w:t>
            </w:r>
          </w:p>
        </w:tc>
      </w:tr>
      <w:tr w:rsidR="00615155" w14:paraId="7F24D0C0" w14:textId="77777777" w:rsidTr="001D05D4">
        <w:tc>
          <w:tcPr>
            <w:tcW w:w="9628" w:type="dxa"/>
          </w:tcPr>
          <w:p w14:paraId="47B17D68" w14:textId="77777777" w:rsidR="00615155" w:rsidRPr="009E0A7B" w:rsidRDefault="00615155" w:rsidP="001D05D4">
            <w:pPr>
              <w:pStyle w:val="TableText"/>
              <w:rPr>
                <w:b/>
                <w:bCs/>
                <w:color w:val="000000" w:themeColor="text1"/>
              </w:rPr>
            </w:pPr>
            <w:r w:rsidRPr="00E554F9">
              <w:rPr>
                <w:b/>
                <w:bCs/>
                <w:color w:val="000000" w:themeColor="text1"/>
              </w:rPr>
              <w:t>Definitions</w:t>
            </w:r>
          </w:p>
        </w:tc>
      </w:tr>
      <w:tr w:rsidR="00615155" w14:paraId="5FCB03E6" w14:textId="77777777" w:rsidTr="001D05D4">
        <w:tc>
          <w:tcPr>
            <w:tcW w:w="9628" w:type="dxa"/>
          </w:tcPr>
          <w:p w14:paraId="42694B03" w14:textId="77777777" w:rsidR="00615155" w:rsidRPr="00A52231" w:rsidRDefault="00615155" w:rsidP="001D05D4">
            <w:pPr>
              <w:pStyle w:val="TableText"/>
            </w:pPr>
            <w:r>
              <w:rPr>
                <w:u w:val="single"/>
              </w:rPr>
              <w:t>Annual Recurrence Interval (ARI)</w:t>
            </w:r>
            <w:r>
              <w:t xml:space="preserve"> means h</w:t>
            </w:r>
            <w:r w:rsidRPr="00F047F2">
              <w:t xml:space="preserve">ow likely </w:t>
            </w:r>
            <w:r>
              <w:t xml:space="preserve">an event is to occur. For example, a 100-year ARI event is an event that occurs or is exceeded on average once every 100 years. </w:t>
            </w:r>
          </w:p>
          <w:p w14:paraId="5C6F9644" w14:textId="77777777" w:rsidR="00615155" w:rsidRPr="00A52231" w:rsidRDefault="00615155" w:rsidP="001D05D4">
            <w:pPr>
              <w:pStyle w:val="TableText"/>
              <w:rPr>
                <w:u w:val="single"/>
              </w:rPr>
            </w:pPr>
            <w:r w:rsidRPr="006A2786">
              <w:rPr>
                <w:u w:val="single"/>
              </w:rPr>
              <w:t>CHRMAP</w:t>
            </w:r>
            <w:r>
              <w:t xml:space="preserve"> means the Princess Royal Harbour </w:t>
            </w:r>
            <w:r w:rsidRPr="002A4265">
              <w:t>Coastal Hazard and Risk Management Adaptation Plan</w:t>
            </w:r>
            <w:r>
              <w:t>.</w:t>
            </w:r>
          </w:p>
          <w:p w14:paraId="3FE4A949" w14:textId="77777777" w:rsidR="00615155" w:rsidRDefault="00615155" w:rsidP="001D05D4">
            <w:pPr>
              <w:pStyle w:val="TableText"/>
            </w:pPr>
            <w:r w:rsidRPr="00A52231">
              <w:rPr>
                <w:u w:val="single"/>
              </w:rPr>
              <w:t>Coastal</w:t>
            </w:r>
            <w:r>
              <w:t xml:space="preserve"> means the area of water and land that may be influenced by coastal processes.</w:t>
            </w:r>
          </w:p>
          <w:p w14:paraId="423F35A7" w14:textId="77777777" w:rsidR="00615155" w:rsidRDefault="00615155" w:rsidP="001D05D4">
            <w:pPr>
              <w:pStyle w:val="TableText"/>
            </w:pPr>
            <w:r w:rsidRPr="00A52231">
              <w:rPr>
                <w:u w:val="single"/>
              </w:rPr>
              <w:t>Coastal hazard</w:t>
            </w:r>
            <w:r>
              <w:t xml:space="preserve"> means the consequence of coastal processes that affect the environment and safety of people. Potential coastal hazards include erosion and inundation.</w:t>
            </w:r>
          </w:p>
          <w:p w14:paraId="0DFA233C" w14:textId="77777777" w:rsidR="00615155" w:rsidRDefault="00615155" w:rsidP="001D05D4">
            <w:pPr>
              <w:pStyle w:val="TableText"/>
            </w:pPr>
            <w:r w:rsidRPr="00920BEB">
              <w:rPr>
                <w:u w:val="single"/>
              </w:rPr>
              <w:t>Coastal hazard notice</w:t>
            </w:r>
            <w:r>
              <w:t xml:space="preserve"> means a notice given to the landowner where the local government forms the view that a trigger event has occurred.</w:t>
            </w:r>
          </w:p>
          <w:p w14:paraId="502666EC" w14:textId="77777777" w:rsidR="00615155" w:rsidRPr="00C62C17" w:rsidRDefault="00615155" w:rsidP="001D05D4">
            <w:pPr>
              <w:pStyle w:val="TableText"/>
            </w:pPr>
            <w:r w:rsidRPr="00A52231">
              <w:rPr>
                <w:u w:val="single"/>
              </w:rPr>
              <w:t>Coastal processes</w:t>
            </w:r>
            <w:r>
              <w:t xml:space="preserve"> means any action of natural forces on the coastal environment. </w:t>
            </w:r>
          </w:p>
          <w:p w14:paraId="6C47596D" w14:textId="77777777" w:rsidR="00615155" w:rsidRPr="00172DC6" w:rsidRDefault="00615155" w:rsidP="001D05D4">
            <w:pPr>
              <w:pStyle w:val="TableText"/>
              <w:rPr>
                <w:u w:val="single"/>
              </w:rPr>
            </w:pPr>
            <w:r>
              <w:rPr>
                <w:u w:val="single"/>
              </w:rPr>
              <w:t>E</w:t>
            </w:r>
            <w:r w:rsidRPr="00C1437E">
              <w:rPr>
                <w:u w:val="single"/>
              </w:rPr>
              <w:t xml:space="preserve">rosion </w:t>
            </w:r>
            <w:r>
              <w:rPr>
                <w:u w:val="single"/>
              </w:rPr>
              <w:t>H</w:t>
            </w:r>
            <w:r w:rsidRPr="00C1437E">
              <w:rPr>
                <w:u w:val="single"/>
              </w:rPr>
              <w:t xml:space="preserve">azard </w:t>
            </w:r>
            <w:r>
              <w:rPr>
                <w:u w:val="single"/>
              </w:rPr>
              <w:t>L</w:t>
            </w:r>
            <w:r w:rsidRPr="00C1437E">
              <w:rPr>
                <w:u w:val="single"/>
              </w:rPr>
              <w:t>ine</w:t>
            </w:r>
            <w:r>
              <w:t xml:space="preserve"> means mapped erosion lines identified within the CHRMAP. </w:t>
            </w:r>
          </w:p>
          <w:p w14:paraId="083EA7CE" w14:textId="77777777" w:rsidR="00615155" w:rsidRDefault="00615155" w:rsidP="001D05D4">
            <w:pPr>
              <w:pStyle w:val="TableText"/>
              <w:rPr>
                <w:rFonts w:asciiTheme="minorHAnsi" w:hAnsiTheme="minorHAnsi" w:cstheme="minorHAnsi"/>
              </w:rPr>
            </w:pPr>
            <w:r w:rsidRPr="00673D80">
              <w:rPr>
                <w:u w:val="single"/>
              </w:rPr>
              <w:t>Habitable Room</w:t>
            </w:r>
            <w:r>
              <w:t xml:space="preserve"> has the same meaning given in </w:t>
            </w:r>
            <w:r w:rsidRPr="00D567B5">
              <w:rPr>
                <w:rFonts w:asciiTheme="minorHAnsi" w:hAnsiTheme="minorHAnsi" w:cstheme="minorHAnsi"/>
                <w:i/>
                <w:iCs/>
              </w:rPr>
              <w:t>State Planning Policy 7.3 Residential Design Codes – Volume 1</w:t>
            </w:r>
            <w:r w:rsidRPr="00D567B5">
              <w:rPr>
                <w:rFonts w:asciiTheme="minorHAnsi" w:hAnsiTheme="minorHAnsi" w:cstheme="minorHAnsi"/>
              </w:rPr>
              <w:t>.</w:t>
            </w:r>
          </w:p>
          <w:p w14:paraId="66B85164" w14:textId="77777777" w:rsidR="00615155" w:rsidRPr="00D567B5" w:rsidRDefault="00615155" w:rsidP="001D05D4">
            <w:pPr>
              <w:pStyle w:val="TableText"/>
              <w:rPr>
                <w:rFonts w:asciiTheme="minorHAnsi" w:hAnsiTheme="minorHAnsi" w:cstheme="minorHAnsi"/>
              </w:rPr>
            </w:pPr>
            <w:r w:rsidRPr="00D567B5">
              <w:rPr>
                <w:rFonts w:asciiTheme="minorHAnsi" w:hAnsiTheme="minorHAnsi" w:cstheme="minorHAnsi"/>
                <w:u w:val="single"/>
              </w:rPr>
              <w:t>Horizontal Shoreline Datum (HSD)</w:t>
            </w:r>
            <w:r w:rsidRPr="00D567B5">
              <w:rPr>
                <w:rFonts w:asciiTheme="minorHAnsi" w:hAnsiTheme="minorHAnsi" w:cstheme="minorHAnsi"/>
              </w:rPr>
              <w:t xml:space="preserve"> means the active limit of the shoreline under storm activity, as defined in State Planning Policy 2.6 – State Coastal Planning Policy.</w:t>
            </w:r>
            <w:r>
              <w:rPr>
                <w:rFonts w:asciiTheme="minorHAnsi" w:hAnsiTheme="minorHAnsi" w:cstheme="minorHAnsi"/>
              </w:rPr>
              <w:t xml:space="preserve"> It is the line from which a physical processes allowance will be applied from, as identified in the CHRMAP and the City’s online mapping tool.</w:t>
            </w:r>
          </w:p>
          <w:p w14:paraId="48175513" w14:textId="77777777" w:rsidR="00615155" w:rsidRPr="00D567B5" w:rsidRDefault="00615155" w:rsidP="001D05D4">
            <w:pPr>
              <w:pStyle w:val="TableText"/>
              <w:rPr>
                <w:rFonts w:asciiTheme="minorHAnsi" w:hAnsiTheme="minorHAnsi" w:cstheme="minorHAnsi"/>
                <w:u w:val="single"/>
              </w:rPr>
            </w:pPr>
            <w:r w:rsidRPr="00D567B5">
              <w:rPr>
                <w:rFonts w:asciiTheme="minorHAnsi" w:hAnsiTheme="minorHAnsi" w:cstheme="minorHAnsi"/>
                <w:u w:val="single"/>
              </w:rPr>
              <w:t>Net Lettable Area</w:t>
            </w:r>
            <w:r w:rsidRPr="00D567B5">
              <w:rPr>
                <w:rFonts w:asciiTheme="minorHAnsi" w:hAnsiTheme="minorHAnsi" w:cstheme="minorHAnsi"/>
                <w:lang w:val="en-GB"/>
              </w:rPr>
              <w:t xml:space="preserve"> has the same meaning given in the </w:t>
            </w:r>
            <w:r w:rsidRPr="00D567B5">
              <w:rPr>
                <w:rFonts w:asciiTheme="minorHAnsi" w:hAnsiTheme="minorHAnsi" w:cstheme="minorHAnsi"/>
                <w:i/>
                <w:iCs/>
                <w:lang w:val="en-GB"/>
              </w:rPr>
              <w:t>Planning and Development (Local Planning Schemes) Regulations 2015</w:t>
            </w:r>
            <w:r w:rsidRPr="00D567B5">
              <w:rPr>
                <w:rFonts w:asciiTheme="minorHAnsi" w:hAnsiTheme="minorHAnsi" w:cstheme="minorHAnsi"/>
                <w:lang w:val="en-GB"/>
              </w:rPr>
              <w:t>.</w:t>
            </w:r>
          </w:p>
          <w:p w14:paraId="42279B62" w14:textId="77777777" w:rsidR="00615155" w:rsidRPr="00FB2F4B" w:rsidRDefault="00615155" w:rsidP="001D05D4">
            <w:pPr>
              <w:pStyle w:val="TableText"/>
              <w:rPr>
                <w:u w:val="single"/>
              </w:rPr>
            </w:pPr>
            <w:r w:rsidRPr="00D567B5">
              <w:rPr>
                <w:rFonts w:asciiTheme="minorHAnsi" w:hAnsiTheme="minorHAnsi" w:cstheme="minorHAnsi"/>
                <w:u w:val="single"/>
              </w:rPr>
              <w:t>Permanent Development</w:t>
            </w:r>
            <w:r w:rsidRPr="00D567B5">
              <w:rPr>
                <w:rFonts w:asciiTheme="minorHAnsi" w:hAnsiTheme="minorHAnsi" w:cstheme="minorHAnsi"/>
              </w:rPr>
              <w:t xml:space="preserve"> means development that is not time or event limited as determined</w:t>
            </w:r>
            <w:r>
              <w:t xml:space="preserve"> by the City. </w:t>
            </w:r>
          </w:p>
          <w:p w14:paraId="0480E482" w14:textId="77777777" w:rsidR="00615155" w:rsidRPr="009E0A7B" w:rsidRDefault="00615155" w:rsidP="001D05D4">
            <w:pPr>
              <w:pStyle w:val="TableText"/>
              <w:rPr>
                <w:rFonts w:asciiTheme="minorHAnsi" w:hAnsiTheme="minorHAnsi" w:cstheme="minorHAnsi"/>
                <w:u w:val="single"/>
              </w:rPr>
            </w:pPr>
            <w:r>
              <w:rPr>
                <w:u w:val="single"/>
              </w:rPr>
              <w:t>S1 Value means the</w:t>
            </w:r>
            <w:r w:rsidRPr="1875F9F2">
              <w:rPr>
                <w:rStyle w:val="Emphasis"/>
                <w:b w:val="0"/>
                <w:color w:val="auto"/>
              </w:rPr>
              <w:t xml:space="preserve"> </w:t>
            </w:r>
            <w:r>
              <w:rPr>
                <w:rStyle w:val="Emphasis"/>
                <w:b w:val="0"/>
                <w:color w:val="auto"/>
              </w:rPr>
              <w:t>a</w:t>
            </w:r>
            <w:r w:rsidRPr="1875F9F2">
              <w:rPr>
                <w:rStyle w:val="Emphasis"/>
                <w:b w:val="0"/>
                <w:color w:val="auto"/>
              </w:rPr>
              <w:t>llowance</w:t>
            </w:r>
            <w:r w:rsidRPr="72E34377">
              <w:rPr>
                <w:rStyle w:val="Emphasis"/>
                <w:b w:val="0"/>
                <w:color w:val="auto"/>
              </w:rPr>
              <w:t xml:space="preserve"> </w:t>
            </w:r>
            <w:r>
              <w:rPr>
                <w:rStyle w:val="Emphasis"/>
                <w:b w:val="0"/>
                <w:color w:val="auto"/>
              </w:rPr>
              <w:t>for the c</w:t>
            </w:r>
            <w:r w:rsidRPr="72E34377">
              <w:rPr>
                <w:rStyle w:val="Emphasis"/>
                <w:b w:val="0"/>
                <w:color w:val="auto"/>
              </w:rPr>
              <w:t xml:space="preserve">urrent </w:t>
            </w:r>
            <w:r>
              <w:rPr>
                <w:rStyle w:val="Emphasis"/>
                <w:b w:val="0"/>
                <w:color w:val="auto"/>
              </w:rPr>
              <w:t>r</w:t>
            </w:r>
            <w:r w:rsidRPr="72E34377">
              <w:rPr>
                <w:rStyle w:val="Emphasis"/>
                <w:b w:val="0"/>
                <w:color w:val="auto"/>
              </w:rPr>
              <w:t xml:space="preserve">isk of </w:t>
            </w:r>
            <w:r>
              <w:rPr>
                <w:rStyle w:val="Emphasis"/>
                <w:b w:val="0"/>
                <w:color w:val="auto"/>
              </w:rPr>
              <w:t>s</w:t>
            </w:r>
            <w:r w:rsidRPr="1875F9F2">
              <w:rPr>
                <w:rStyle w:val="Emphasis"/>
                <w:b w:val="0"/>
                <w:color w:val="auto"/>
              </w:rPr>
              <w:t xml:space="preserve">torm </w:t>
            </w:r>
            <w:r>
              <w:rPr>
                <w:rStyle w:val="Emphasis"/>
                <w:b w:val="0"/>
                <w:color w:val="auto"/>
              </w:rPr>
              <w:t>e</w:t>
            </w:r>
            <w:r w:rsidRPr="1875F9F2">
              <w:rPr>
                <w:rStyle w:val="Emphasis"/>
                <w:b w:val="0"/>
                <w:color w:val="auto"/>
              </w:rPr>
              <w:t>rosion</w:t>
            </w:r>
            <w:r>
              <w:rPr>
                <w:rStyle w:val="Emphasis"/>
                <w:b w:val="0"/>
                <w:color w:val="auto"/>
              </w:rPr>
              <w:t xml:space="preserve">, </w:t>
            </w:r>
            <w:r>
              <w:rPr>
                <w:rFonts w:asciiTheme="minorHAnsi" w:hAnsiTheme="minorHAnsi" w:cstheme="minorHAnsi"/>
              </w:rPr>
              <w:t>as identified in the CHRMAP and the City’s online mapping tool.</w:t>
            </w:r>
          </w:p>
        </w:tc>
      </w:tr>
      <w:tr w:rsidR="00615155" w14:paraId="7DB5658D" w14:textId="77777777" w:rsidTr="001D05D4">
        <w:tc>
          <w:tcPr>
            <w:tcW w:w="9628" w:type="dxa"/>
          </w:tcPr>
          <w:p w14:paraId="0A6182FF" w14:textId="77777777" w:rsidR="00615155" w:rsidRDefault="00615155" w:rsidP="001D05D4">
            <w:pPr>
              <w:pStyle w:val="TableText"/>
            </w:pPr>
            <w:r w:rsidRPr="00001ABC">
              <w:rPr>
                <w:u w:val="single"/>
              </w:rPr>
              <w:t>SCA 1</w:t>
            </w:r>
            <w:r>
              <w:rPr>
                <w:u w:val="single"/>
              </w:rPr>
              <w:t>6</w:t>
            </w:r>
            <w:r>
              <w:t xml:space="preserve"> means Special Control Area 16 – Princess Royal Harbour Coastal Hazard </w:t>
            </w:r>
            <w:r w:rsidRPr="00560018">
              <w:t>Area</w:t>
            </w:r>
            <w:r>
              <w:t xml:space="preserve"> as defined on the Scheme Maps.</w:t>
            </w:r>
          </w:p>
          <w:p w14:paraId="59EB2E74" w14:textId="77777777" w:rsidR="00615155" w:rsidRDefault="00615155" w:rsidP="001D05D4">
            <w:pPr>
              <w:pStyle w:val="TableText"/>
            </w:pPr>
            <w:r w:rsidRPr="00B40A84">
              <w:rPr>
                <w:u w:val="single"/>
              </w:rPr>
              <w:t>Scheme</w:t>
            </w:r>
            <w:r>
              <w:t xml:space="preserve"> means the City of Albany Local Planning Scheme No. 2 or any subsequent local planning scheme endorsed by the Minister for Planning.</w:t>
            </w:r>
          </w:p>
          <w:p w14:paraId="2E61EC5D" w14:textId="77777777" w:rsidR="00615155" w:rsidRDefault="00615155" w:rsidP="001D05D4">
            <w:pPr>
              <w:pStyle w:val="TableText"/>
            </w:pPr>
            <w:r w:rsidRPr="00FB2F4B">
              <w:rPr>
                <w:u w:val="single"/>
              </w:rPr>
              <w:t>SPP 2.6</w:t>
            </w:r>
            <w:r>
              <w:t xml:space="preserve"> means State Planning Policy 2.6 Coastal Planning Policy.</w:t>
            </w:r>
          </w:p>
        </w:tc>
      </w:tr>
      <w:tr w:rsidR="00615155" w14:paraId="23874DB7" w14:textId="77777777" w:rsidTr="001D05D4">
        <w:tc>
          <w:tcPr>
            <w:tcW w:w="9628" w:type="dxa"/>
          </w:tcPr>
          <w:p w14:paraId="3305D426" w14:textId="77777777" w:rsidR="00615155" w:rsidRDefault="00615155" w:rsidP="001D05D4">
            <w:pPr>
              <w:pStyle w:val="TableText"/>
            </w:pPr>
            <w:r w:rsidRPr="4C95C4B6">
              <w:rPr>
                <w:u w:val="single"/>
              </w:rPr>
              <w:lastRenderedPageBreak/>
              <w:t>Planning Proposals</w:t>
            </w:r>
            <w:r>
              <w:t xml:space="preserve"> means a Local Planning Strategy, Local Planning Scheme, amendment to a Local Planning Scheme, Structure Plan or Local Development Plan.</w:t>
            </w:r>
          </w:p>
          <w:p w14:paraId="01A88E73" w14:textId="77777777" w:rsidR="00615155" w:rsidRDefault="00615155" w:rsidP="001D05D4">
            <w:pPr>
              <w:pStyle w:val="ListBullet0"/>
              <w:ind w:left="397" w:hanging="397"/>
            </w:pPr>
            <w:r w:rsidRPr="00FB2F4B">
              <w:rPr>
                <w:u w:val="single"/>
              </w:rPr>
              <w:t>Trigger event</w:t>
            </w:r>
            <w:r>
              <w:t xml:space="preserve"> means one or more of the following events:</w:t>
            </w:r>
          </w:p>
          <w:p w14:paraId="3A6D80AF" w14:textId="77777777" w:rsidR="00615155" w:rsidRDefault="00615155" w:rsidP="001D05D4">
            <w:pPr>
              <w:pStyle w:val="ListBullet0"/>
            </w:pPr>
            <w:r w:rsidRPr="1875F9F2">
              <w:rPr>
                <w:rStyle w:val="Emphasis"/>
                <w:b w:val="0"/>
                <w:color w:val="auto"/>
              </w:rPr>
              <w:t xml:space="preserve">Where the most landward part of the Horizontal Shoreline Datum (HSD) is within </w:t>
            </w:r>
            <w:r>
              <w:rPr>
                <w:rStyle w:val="Emphasis"/>
                <w:b w:val="0"/>
                <w:color w:val="auto"/>
              </w:rPr>
              <w:t>the S1 distance</w:t>
            </w:r>
            <w:r w:rsidRPr="72E34377">
              <w:rPr>
                <w:rStyle w:val="Emphasis"/>
                <w:b w:val="0"/>
                <w:color w:val="auto"/>
              </w:rPr>
              <w:t xml:space="preserve"> </w:t>
            </w:r>
            <w:r w:rsidRPr="1875F9F2">
              <w:rPr>
                <w:rStyle w:val="Emphasis"/>
                <w:b w:val="0"/>
                <w:color w:val="auto"/>
              </w:rPr>
              <w:t>of the most seaward point</w:t>
            </w:r>
            <w:r>
              <w:t xml:space="preserve"> of the development (refer to CHRMAP for the S1 erosion allowance for the subject land).</w:t>
            </w:r>
          </w:p>
          <w:p w14:paraId="15EE882E" w14:textId="77777777" w:rsidR="00615155" w:rsidRPr="009E0A7B" w:rsidRDefault="00615155" w:rsidP="001D05D4">
            <w:pPr>
              <w:pStyle w:val="ListBullet0"/>
            </w:pPr>
            <w:r>
              <w:t>pub</w:t>
            </w:r>
            <w:r w:rsidRPr="009E0A7B">
              <w:rPr>
                <w:rFonts w:eastAsiaTheme="minorEastAsia" w:cstheme="minorBidi"/>
                <w:szCs w:val="20"/>
              </w:rPr>
              <w:t>lic road access to a property is no longer available or able to provide legal access to the property; or</w:t>
            </w:r>
          </w:p>
          <w:p w14:paraId="7AEAFA0A" w14:textId="77777777" w:rsidR="00615155" w:rsidRDefault="00615155" w:rsidP="001D05D4">
            <w:pPr>
              <w:pStyle w:val="ListBullet0"/>
              <w:rPr>
                <w:u w:val="single"/>
              </w:rPr>
            </w:pPr>
            <w:r>
              <w:t>water</w:t>
            </w:r>
            <w:r w:rsidRPr="1875F9F2">
              <w:rPr>
                <w:rFonts w:eastAsiaTheme="minorEastAsia" w:cstheme="minorBidi"/>
                <w:szCs w:val="20"/>
              </w:rPr>
              <w:t xml:space="preserve">, </w:t>
            </w:r>
            <w:r w:rsidRPr="009E0A7B">
              <w:rPr>
                <w:rFonts w:eastAsiaTheme="minorEastAsia" w:cstheme="minorBidi"/>
                <w:szCs w:val="20"/>
              </w:rPr>
              <w:t>sewerage or electricity to the property is no longer available, or where a reticulated sewerage system has not been available to a property, when the separation distance between groundwater and the discharge point of the onsite sewerage system as set out in the Government Sewerage Policy cannot be maintained</w:t>
            </w:r>
            <w:r>
              <w:t>.</w:t>
            </w:r>
          </w:p>
        </w:tc>
      </w:tr>
      <w:tr w:rsidR="00615155" w14:paraId="2E080BEA" w14:textId="77777777" w:rsidTr="001D05D4">
        <w:tc>
          <w:tcPr>
            <w:tcW w:w="9628" w:type="dxa"/>
          </w:tcPr>
          <w:p w14:paraId="18BD3788" w14:textId="77777777" w:rsidR="00615155" w:rsidRPr="00E554F9" w:rsidRDefault="00615155" w:rsidP="001D05D4">
            <w:pPr>
              <w:pStyle w:val="TableText"/>
              <w:rPr>
                <w:b/>
                <w:bCs/>
              </w:rPr>
            </w:pPr>
            <w:r w:rsidRPr="00E554F9">
              <w:rPr>
                <w:b/>
                <w:bCs/>
                <w:color w:val="000000" w:themeColor="text1"/>
              </w:rPr>
              <w:t>Requirement for Development Approval</w:t>
            </w:r>
          </w:p>
        </w:tc>
      </w:tr>
      <w:tr w:rsidR="00615155" w14:paraId="09378045" w14:textId="77777777" w:rsidTr="001D05D4">
        <w:tc>
          <w:tcPr>
            <w:tcW w:w="9628" w:type="dxa"/>
          </w:tcPr>
          <w:p w14:paraId="05BDC9A2" w14:textId="77777777" w:rsidR="00615155" w:rsidRDefault="00615155" w:rsidP="001D05D4">
            <w:pPr>
              <w:pStyle w:val="TableBullet"/>
              <w:numPr>
                <w:ilvl w:val="0"/>
                <w:numId w:val="0"/>
              </w:numPr>
            </w:pPr>
            <w:r>
              <w:t>Notwithstanding any other provision in the Scheme, development approval is required prior to commencing or carrying out any works or use of land within SCA 16, unless specified as exempt development in this Policy.</w:t>
            </w:r>
          </w:p>
          <w:p w14:paraId="5CECF31D" w14:textId="77777777" w:rsidR="00615155" w:rsidRDefault="00615155" w:rsidP="001D05D4">
            <w:pPr>
              <w:pStyle w:val="TableText"/>
            </w:pPr>
            <w:r>
              <w:t>Where development approval is required, applications will need to clearly demonstrate that the proposed development meets the objectives and requirements of this Policy and any other relevant requirements of the City’s planning framework.</w:t>
            </w:r>
          </w:p>
        </w:tc>
      </w:tr>
      <w:tr w:rsidR="00615155" w14:paraId="16ECC731" w14:textId="77777777" w:rsidTr="001D05D4">
        <w:tc>
          <w:tcPr>
            <w:tcW w:w="9628" w:type="dxa"/>
          </w:tcPr>
          <w:p w14:paraId="31409DA6" w14:textId="77777777" w:rsidR="00615155" w:rsidRPr="00E554F9" w:rsidRDefault="00615155" w:rsidP="001D05D4">
            <w:pPr>
              <w:pStyle w:val="TableText"/>
              <w:rPr>
                <w:b/>
                <w:bCs/>
              </w:rPr>
            </w:pPr>
            <w:r w:rsidRPr="00E554F9">
              <w:rPr>
                <w:b/>
                <w:bCs/>
                <w:color w:val="000000" w:themeColor="text1"/>
              </w:rPr>
              <w:t>Exempted Development</w:t>
            </w:r>
          </w:p>
        </w:tc>
      </w:tr>
      <w:tr w:rsidR="00615155" w14:paraId="6F30F0D4" w14:textId="77777777" w:rsidTr="001D05D4">
        <w:tc>
          <w:tcPr>
            <w:tcW w:w="9628" w:type="dxa"/>
          </w:tcPr>
          <w:p w14:paraId="14A26D22" w14:textId="77777777" w:rsidR="00615155" w:rsidRDefault="00615155" w:rsidP="001D05D4">
            <w:pPr>
              <w:pStyle w:val="TableBullet"/>
              <w:numPr>
                <w:ilvl w:val="0"/>
                <w:numId w:val="0"/>
              </w:numPr>
            </w:pPr>
            <w:r>
              <w:t>Notwithstanding the land being located within SCA 16, unless otherwise required by the Scheme, the provisions of this Policy do not apply to:</w:t>
            </w:r>
          </w:p>
          <w:p w14:paraId="36416C05" w14:textId="77777777" w:rsidR="00615155" w:rsidRDefault="00615155" w:rsidP="001D05D4">
            <w:pPr>
              <w:pStyle w:val="TableNumber"/>
              <w:numPr>
                <w:ilvl w:val="0"/>
                <w:numId w:val="22"/>
              </w:numPr>
            </w:pPr>
            <w:r w:rsidRPr="00B40A84">
              <w:t xml:space="preserve">Alterations and additions to a habitable room of an existing residential building or net lettable area of commercial, retail or community building which does not exceed </w:t>
            </w:r>
            <w:r>
              <w:t>5</w:t>
            </w:r>
            <w:r w:rsidRPr="00B40A84">
              <w:t>0m</w:t>
            </w:r>
            <w:r w:rsidRPr="00E554F9">
              <w:rPr>
                <w:vertAlign w:val="superscript"/>
              </w:rPr>
              <w:t>2</w:t>
            </w:r>
            <w:r w:rsidRPr="00B40A84">
              <w:t xml:space="preserve"> cumulatively from the date of adoption of this Policy.</w:t>
            </w:r>
          </w:p>
          <w:p w14:paraId="06D9DE47" w14:textId="77777777" w:rsidR="00615155" w:rsidRDefault="00615155" w:rsidP="001D05D4">
            <w:pPr>
              <w:pStyle w:val="TableNumber"/>
              <w:numPr>
                <w:ilvl w:val="0"/>
                <w:numId w:val="30"/>
              </w:numPr>
            </w:pPr>
            <w:r w:rsidRPr="00B40A84">
              <w:t>A change of use that does</w:t>
            </w:r>
            <w:r>
              <w:t xml:space="preserve"> </w:t>
            </w:r>
            <w:r w:rsidRPr="00B40A84">
              <w:t>not intensify development or use of the land</w:t>
            </w:r>
            <w:r>
              <w:t>.</w:t>
            </w:r>
          </w:p>
        </w:tc>
      </w:tr>
      <w:tr w:rsidR="00615155" w14:paraId="1C19AF34" w14:textId="77777777" w:rsidTr="001D05D4">
        <w:tc>
          <w:tcPr>
            <w:tcW w:w="9628" w:type="dxa"/>
          </w:tcPr>
          <w:p w14:paraId="4393E735" w14:textId="77777777" w:rsidR="00615155" w:rsidRPr="00E554F9" w:rsidRDefault="00615155" w:rsidP="001D05D4">
            <w:pPr>
              <w:pStyle w:val="TableText"/>
              <w:rPr>
                <w:b/>
                <w:bCs/>
              </w:rPr>
            </w:pPr>
            <w:r w:rsidRPr="00E554F9">
              <w:rPr>
                <w:b/>
                <w:bCs/>
                <w:color w:val="000000" w:themeColor="text1"/>
              </w:rPr>
              <w:t>General</w:t>
            </w:r>
          </w:p>
        </w:tc>
      </w:tr>
      <w:tr w:rsidR="00615155" w14:paraId="7F4BB769" w14:textId="77777777" w:rsidTr="001D05D4">
        <w:tc>
          <w:tcPr>
            <w:tcW w:w="9628" w:type="dxa"/>
          </w:tcPr>
          <w:p w14:paraId="2063144A" w14:textId="77777777" w:rsidR="00615155" w:rsidRDefault="00615155" w:rsidP="001D05D4">
            <w:pPr>
              <w:pStyle w:val="TableBullet"/>
              <w:numPr>
                <w:ilvl w:val="0"/>
                <w:numId w:val="0"/>
              </w:numPr>
            </w:pPr>
            <w:r>
              <w:t xml:space="preserve">Coastal hazards must be considered in preparing strategic proposals and when making statutory planning decisions in order to avoid increasing the impacts of coastal processes on inappropriately located land use and development. </w:t>
            </w:r>
          </w:p>
          <w:p w14:paraId="140E2FC8" w14:textId="77777777" w:rsidR="00615155" w:rsidRDefault="00615155" w:rsidP="001D05D4">
            <w:pPr>
              <w:pStyle w:val="TableText"/>
            </w:pPr>
            <w:r>
              <w:t>Notwithstanding the requirements of this Policy, the City may exercise discretion in its consideration of proposals where a site-specific coastal hazard assessment is prepared in accordance with SPP 2.6 to demonstrate the suitability of the proposal.</w:t>
            </w:r>
          </w:p>
        </w:tc>
      </w:tr>
      <w:tr w:rsidR="00615155" w14:paraId="1A731DE9" w14:textId="77777777" w:rsidTr="001D05D4">
        <w:tc>
          <w:tcPr>
            <w:tcW w:w="9628" w:type="dxa"/>
          </w:tcPr>
          <w:p w14:paraId="16C83A59" w14:textId="77777777" w:rsidR="00615155" w:rsidRPr="00E554F9" w:rsidRDefault="00615155" w:rsidP="001D05D4">
            <w:pPr>
              <w:pStyle w:val="TableText"/>
              <w:rPr>
                <w:b/>
                <w:bCs/>
              </w:rPr>
            </w:pPr>
            <w:r w:rsidRPr="00E554F9">
              <w:rPr>
                <w:b/>
                <w:bCs/>
                <w:color w:val="000000" w:themeColor="text1"/>
              </w:rPr>
              <w:t>Erosion</w:t>
            </w:r>
          </w:p>
        </w:tc>
      </w:tr>
      <w:tr w:rsidR="00615155" w14:paraId="2478F3CA" w14:textId="77777777" w:rsidTr="001D05D4">
        <w:tc>
          <w:tcPr>
            <w:tcW w:w="0" w:type="dxa"/>
            <w:tcBorders>
              <w:bottom w:val="nil"/>
            </w:tcBorders>
          </w:tcPr>
          <w:p w14:paraId="4D4F2240" w14:textId="77777777" w:rsidR="00615155" w:rsidRPr="003D461B" w:rsidRDefault="00615155" w:rsidP="001D05D4">
            <w:pPr>
              <w:pStyle w:val="TableBullet"/>
              <w:numPr>
                <w:ilvl w:val="0"/>
                <w:numId w:val="0"/>
              </w:numPr>
              <w:rPr>
                <w:u w:val="single"/>
              </w:rPr>
            </w:pPr>
            <w:r w:rsidRPr="003D461B">
              <w:rPr>
                <w:u w:val="single"/>
              </w:rPr>
              <w:t>Subdivision:</w:t>
            </w:r>
          </w:p>
          <w:p w14:paraId="6FE1CA56" w14:textId="77777777" w:rsidR="00615155" w:rsidRDefault="00615155" w:rsidP="001D05D4">
            <w:pPr>
              <w:pStyle w:val="TableNumber"/>
              <w:numPr>
                <w:ilvl w:val="0"/>
                <w:numId w:val="31"/>
              </w:numPr>
            </w:pPr>
            <w:r>
              <w:t>There is a general presumption against further subdivision of properties on the seaward side of the 2122 Erosion Hazard Line, except where the application is for:</w:t>
            </w:r>
          </w:p>
          <w:p w14:paraId="441C4452" w14:textId="77777777" w:rsidR="00615155" w:rsidRDefault="00615155" w:rsidP="001D05D4">
            <w:pPr>
              <w:pStyle w:val="TableBullet"/>
              <w:numPr>
                <w:ilvl w:val="2"/>
                <w:numId w:val="28"/>
              </w:numPr>
              <w:spacing w:before="80" w:after="40" w:line="276" w:lineRule="auto"/>
            </w:pPr>
            <w:r>
              <w:t>a purpose which will not create the potential for additional private development within the erosion hazard area; or</w:t>
            </w:r>
          </w:p>
          <w:p w14:paraId="0B75DA08" w14:textId="77777777" w:rsidR="00615155" w:rsidRDefault="00615155" w:rsidP="001D05D4">
            <w:pPr>
              <w:pStyle w:val="TableBullet"/>
              <w:numPr>
                <w:ilvl w:val="2"/>
                <w:numId w:val="28"/>
              </w:numPr>
              <w:spacing w:before="80" w:after="40" w:line="276" w:lineRule="auto"/>
            </w:pPr>
            <w:r>
              <w:t>boundary realignment, rationalisation of landholdings or lots created for a foreshore reserve which will not create the potential for additional private development within the erosion hazard area.</w:t>
            </w:r>
          </w:p>
          <w:p w14:paraId="433A0906" w14:textId="77777777" w:rsidR="00615155" w:rsidRPr="00E93A69" w:rsidRDefault="00615155" w:rsidP="001D05D4">
            <w:pPr>
              <w:pStyle w:val="TableBullet"/>
              <w:numPr>
                <w:ilvl w:val="2"/>
                <w:numId w:val="28"/>
              </w:numPr>
              <w:spacing w:before="80" w:after="40" w:line="276" w:lineRule="auto"/>
            </w:pPr>
            <w:r>
              <w:t>and the subdivision is otherwise consistent with the local and State planning framework.</w:t>
            </w:r>
          </w:p>
        </w:tc>
      </w:tr>
      <w:tr w:rsidR="00615155" w14:paraId="4E41B07E" w14:textId="77777777" w:rsidTr="001D05D4">
        <w:tc>
          <w:tcPr>
            <w:tcW w:w="0" w:type="dxa"/>
            <w:tcBorders>
              <w:top w:val="nil"/>
            </w:tcBorders>
          </w:tcPr>
          <w:p w14:paraId="4F2D403C" w14:textId="77777777" w:rsidR="00615155" w:rsidRDefault="00615155" w:rsidP="001D05D4">
            <w:pPr>
              <w:pStyle w:val="TableNumber"/>
              <w:numPr>
                <w:ilvl w:val="0"/>
                <w:numId w:val="31"/>
              </w:numPr>
            </w:pPr>
            <w:r>
              <w:lastRenderedPageBreak/>
              <w:t xml:space="preserve">A notification pursuant to Section 165A of the </w:t>
            </w:r>
            <w:r w:rsidRPr="009E0A7B">
              <w:t>Planning and Development Act 2005</w:t>
            </w:r>
            <w:r>
              <w:t xml:space="preserve"> is to be placed on the Certificate(s) of Title of the subject land, at the cost of the landowner, </w:t>
            </w:r>
            <w:r w:rsidRPr="003D461B">
              <w:t>advising that the lot(s) are located in an area likely to be subject to coastal hazard within the period to 212</w:t>
            </w:r>
            <w:r>
              <w:t>2.</w:t>
            </w:r>
          </w:p>
          <w:p w14:paraId="16060BF3" w14:textId="77777777" w:rsidR="00615155" w:rsidRPr="003D461B" w:rsidRDefault="00615155" w:rsidP="001D05D4">
            <w:pPr>
              <w:pStyle w:val="TableBullet"/>
              <w:numPr>
                <w:ilvl w:val="0"/>
                <w:numId w:val="0"/>
              </w:numPr>
              <w:rPr>
                <w:u w:val="single"/>
              </w:rPr>
            </w:pPr>
            <w:r w:rsidRPr="003D461B">
              <w:rPr>
                <w:u w:val="single"/>
              </w:rPr>
              <w:t>Development:</w:t>
            </w:r>
          </w:p>
          <w:p w14:paraId="01052E11" w14:textId="77777777" w:rsidR="00615155" w:rsidRDefault="00615155" w:rsidP="001D05D4">
            <w:pPr>
              <w:pStyle w:val="TableNumber"/>
              <w:numPr>
                <w:ilvl w:val="0"/>
                <w:numId w:val="33"/>
              </w:numPr>
            </w:pPr>
            <w:r>
              <w:t>D</w:t>
            </w:r>
            <w:r w:rsidRPr="00C11C0B">
              <w:t xml:space="preserve">evelopment located seaward of the 2122 </w:t>
            </w:r>
            <w:r>
              <w:t>Erosion Hazard Line will only be permitted provided:</w:t>
            </w:r>
          </w:p>
          <w:p w14:paraId="3EC4EBE9" w14:textId="77777777" w:rsidR="00615155" w:rsidRDefault="00615155" w:rsidP="001D05D4">
            <w:pPr>
              <w:pStyle w:val="TableBullet"/>
              <w:numPr>
                <w:ilvl w:val="0"/>
                <w:numId w:val="32"/>
              </w:numPr>
              <w:spacing w:before="80" w:after="40" w:line="276" w:lineRule="auto"/>
            </w:pPr>
            <w:r>
              <w:t xml:space="preserve">the applicant demonstrates that the design life of the development is suitable for its location with regard to the Erosion Hazard Lines </w:t>
            </w:r>
            <w:r w:rsidRPr="002C0648">
              <w:t>contained within the CHRMAP</w:t>
            </w:r>
            <w:r>
              <w:t xml:space="preserve"> and the development can be relocated or removed;</w:t>
            </w:r>
          </w:p>
          <w:p w14:paraId="239B2A28" w14:textId="77777777" w:rsidR="00615155" w:rsidRDefault="00615155" w:rsidP="001D05D4">
            <w:pPr>
              <w:pStyle w:val="TableBullet"/>
              <w:numPr>
                <w:ilvl w:val="0"/>
                <w:numId w:val="32"/>
              </w:numPr>
              <w:spacing w:before="80" w:after="40" w:line="276" w:lineRule="auto"/>
            </w:pPr>
            <w:r>
              <w:t>conditions are imposed as to:</w:t>
            </w:r>
          </w:p>
          <w:p w14:paraId="12ACFDAD" w14:textId="77777777" w:rsidR="00615155" w:rsidRDefault="00615155" w:rsidP="001D05D4">
            <w:pPr>
              <w:pStyle w:val="TableBullet"/>
              <w:numPr>
                <w:ilvl w:val="1"/>
                <w:numId w:val="32"/>
              </w:numPr>
              <w:spacing w:before="80" w:after="40" w:line="276" w:lineRule="auto"/>
            </w:pPr>
            <w:r>
              <w:t>constrain the location of the development;</w:t>
            </w:r>
          </w:p>
          <w:p w14:paraId="118C91B8" w14:textId="77777777" w:rsidR="00615155" w:rsidRDefault="00615155" w:rsidP="001D05D4">
            <w:pPr>
              <w:pStyle w:val="TableBullet"/>
              <w:numPr>
                <w:ilvl w:val="1"/>
                <w:numId w:val="32"/>
              </w:numPr>
              <w:spacing w:before="80" w:after="40" w:line="276" w:lineRule="auto"/>
            </w:pPr>
            <w:r>
              <w:t>control the form of construction including foundations and associated works;</w:t>
            </w:r>
          </w:p>
          <w:p w14:paraId="58BEF857" w14:textId="77777777" w:rsidR="00615155" w:rsidRDefault="00615155" w:rsidP="001D05D4">
            <w:pPr>
              <w:pStyle w:val="TableBullet"/>
              <w:numPr>
                <w:ilvl w:val="1"/>
                <w:numId w:val="32"/>
              </w:numPr>
              <w:spacing w:before="80" w:after="40" w:line="276" w:lineRule="auto"/>
            </w:pPr>
            <w:r>
              <w:t>determine the form, location and construction of access;</w:t>
            </w:r>
          </w:p>
          <w:p w14:paraId="3149F9CC" w14:textId="77777777" w:rsidR="00615155" w:rsidRDefault="00615155" w:rsidP="001D05D4">
            <w:pPr>
              <w:pStyle w:val="TableBullet"/>
              <w:numPr>
                <w:ilvl w:val="1"/>
                <w:numId w:val="32"/>
              </w:numPr>
              <w:spacing w:before="80" w:after="40" w:line="276" w:lineRule="auto"/>
            </w:pPr>
            <w:r>
              <w:t>require a minimum floor level for development;</w:t>
            </w:r>
          </w:p>
          <w:p w14:paraId="7E00D8ED" w14:textId="77777777" w:rsidR="00615155" w:rsidRDefault="00615155" w:rsidP="001D05D4">
            <w:pPr>
              <w:pStyle w:val="TableBullet"/>
              <w:numPr>
                <w:ilvl w:val="1"/>
                <w:numId w:val="32"/>
              </w:numPr>
              <w:spacing w:before="80" w:after="40" w:line="276" w:lineRule="auto"/>
            </w:pPr>
            <w:r>
              <w:t>limit the term of the approval; and/or</w:t>
            </w:r>
          </w:p>
          <w:p w14:paraId="018F09CB" w14:textId="77777777" w:rsidR="00615155" w:rsidRDefault="00615155" w:rsidP="001D05D4">
            <w:pPr>
              <w:pStyle w:val="TableBullet"/>
              <w:numPr>
                <w:ilvl w:val="1"/>
                <w:numId w:val="32"/>
              </w:numPr>
              <w:spacing w:before="80" w:after="40" w:line="276" w:lineRule="auto"/>
            </w:pPr>
            <w:r>
              <w:t xml:space="preserve">require the approved development to be removed and land restored to its pre-development condition to the satisfaction of the City, upon a trigger even occurring. </w:t>
            </w:r>
          </w:p>
          <w:p w14:paraId="67775070" w14:textId="77777777" w:rsidR="00615155" w:rsidRPr="002C0648" w:rsidRDefault="00615155" w:rsidP="001D05D4">
            <w:pPr>
              <w:pStyle w:val="TableBullet"/>
              <w:numPr>
                <w:ilvl w:val="0"/>
                <w:numId w:val="32"/>
              </w:numPr>
              <w:spacing w:before="80" w:after="40" w:line="276" w:lineRule="auto"/>
            </w:pPr>
            <w:r>
              <w:t>a condition is imposed requiring a notification to be placed on the certificate of title of the subject land pursuant to section 70A of the Transfer of Land Act 1893 to alert prospective purchasers of the limited term of the approval and the requirement to restore the land to its pre-development condition to the satisfaction of the City, upon a trigger event occurring.</w:t>
            </w:r>
          </w:p>
          <w:p w14:paraId="6755D285" w14:textId="77777777" w:rsidR="00615155" w:rsidRDefault="00615155" w:rsidP="001D05D4">
            <w:pPr>
              <w:pStyle w:val="TableNumber"/>
              <w:numPr>
                <w:ilvl w:val="0"/>
                <w:numId w:val="31"/>
              </w:numPr>
            </w:pPr>
            <w:r w:rsidRPr="00BA1FBB">
              <w:t>Wherever reasonably practicable to do so any new development is to be located on the least vulnerable portion of the land</w:t>
            </w:r>
            <w:r>
              <w:t>.</w:t>
            </w:r>
          </w:p>
          <w:p w14:paraId="627A2AF4" w14:textId="77777777" w:rsidR="00615155" w:rsidRDefault="00615155" w:rsidP="001D05D4">
            <w:pPr>
              <w:pStyle w:val="TableNumber"/>
              <w:numPr>
                <w:ilvl w:val="0"/>
                <w:numId w:val="31"/>
              </w:numPr>
            </w:pPr>
            <w:r>
              <w:t>If the local government forms the view that the trigger event has occurred, the local government may give notice to the landowner requiring:</w:t>
            </w:r>
          </w:p>
          <w:p w14:paraId="03CECF66" w14:textId="77777777" w:rsidR="00615155" w:rsidRDefault="00615155" w:rsidP="001D05D4">
            <w:pPr>
              <w:pStyle w:val="TableText"/>
              <w:numPr>
                <w:ilvl w:val="0"/>
                <w:numId w:val="29"/>
              </w:numPr>
              <w:spacing w:before="80" w:after="40" w:line="276" w:lineRule="auto"/>
            </w:pPr>
            <w:r>
              <w:t>the development to be removed, pulled down or altered in accordance with the notice; and</w:t>
            </w:r>
          </w:p>
          <w:p w14:paraId="2FF74017" w14:textId="77777777" w:rsidR="00615155" w:rsidRDefault="00615155" w:rsidP="001D05D4">
            <w:pPr>
              <w:pStyle w:val="TableText"/>
              <w:numPr>
                <w:ilvl w:val="0"/>
                <w:numId w:val="29"/>
              </w:numPr>
              <w:spacing w:before="80" w:after="40" w:line="276" w:lineRule="auto"/>
            </w:pPr>
            <w:r>
              <w:t>the land to be restored to its pre-development condition to the satisfaction of the local government.</w:t>
            </w:r>
          </w:p>
          <w:p w14:paraId="3B62897F" w14:textId="77777777" w:rsidR="00615155" w:rsidRDefault="00615155" w:rsidP="001D05D4">
            <w:pPr>
              <w:pStyle w:val="TableNumber"/>
              <w:numPr>
                <w:ilvl w:val="0"/>
                <w:numId w:val="31"/>
              </w:numPr>
              <w:spacing w:before="80" w:after="40" w:line="276" w:lineRule="auto"/>
            </w:pPr>
            <w:r>
              <w:t>If a person fails to comply with a coastal hazard notice, the local government may enter the land and carry out the works specified in the notice. The expenses incurred by the local government in carrying out the works may be recovered as a debt due from the person to whom the notice was given in a court of competent jurisdiction.</w:t>
            </w:r>
          </w:p>
        </w:tc>
      </w:tr>
      <w:tr w:rsidR="00615155" w14:paraId="6B1BC146" w14:textId="77777777" w:rsidTr="001D05D4">
        <w:tc>
          <w:tcPr>
            <w:tcW w:w="9628" w:type="dxa"/>
          </w:tcPr>
          <w:p w14:paraId="491CA611" w14:textId="77777777" w:rsidR="00615155" w:rsidRPr="009474B8" w:rsidRDefault="00615155" w:rsidP="001D05D4">
            <w:pPr>
              <w:pStyle w:val="TableText"/>
              <w:rPr>
                <w:b/>
                <w:bCs/>
              </w:rPr>
            </w:pPr>
            <w:r w:rsidRPr="009474B8">
              <w:rPr>
                <w:b/>
                <w:bCs/>
                <w:color w:val="000000" w:themeColor="text1"/>
              </w:rPr>
              <w:t>Inundation</w:t>
            </w:r>
          </w:p>
        </w:tc>
      </w:tr>
      <w:tr w:rsidR="00615155" w14:paraId="2921F05C" w14:textId="77777777" w:rsidTr="001D05D4">
        <w:tc>
          <w:tcPr>
            <w:tcW w:w="0" w:type="dxa"/>
            <w:tcBorders>
              <w:bottom w:val="nil"/>
            </w:tcBorders>
          </w:tcPr>
          <w:p w14:paraId="22D2983D" w14:textId="77777777" w:rsidR="00615155" w:rsidRPr="00AF27CF" w:rsidRDefault="00615155" w:rsidP="001D05D4">
            <w:pPr>
              <w:pStyle w:val="TableBullet"/>
              <w:numPr>
                <w:ilvl w:val="0"/>
                <w:numId w:val="0"/>
              </w:numPr>
              <w:rPr>
                <w:u w:val="single"/>
              </w:rPr>
            </w:pPr>
            <w:r w:rsidRPr="4C95C4B6">
              <w:rPr>
                <w:u w:val="single"/>
              </w:rPr>
              <w:lastRenderedPageBreak/>
              <w:t>Planning Proposals:</w:t>
            </w:r>
          </w:p>
          <w:p w14:paraId="04270EBE" w14:textId="77777777" w:rsidR="00615155" w:rsidRDefault="00615155" w:rsidP="001D05D4">
            <w:pPr>
              <w:pStyle w:val="TableNumber"/>
              <w:numPr>
                <w:ilvl w:val="0"/>
                <w:numId w:val="34"/>
              </w:numPr>
            </w:pPr>
            <w:r>
              <w:t>planning proposals for land identified as being prone to inundation should not provide for more intensive development or use of this land.</w:t>
            </w:r>
          </w:p>
          <w:p w14:paraId="696D3370" w14:textId="77777777" w:rsidR="00615155" w:rsidRDefault="00615155" w:rsidP="001D05D4">
            <w:pPr>
              <w:pStyle w:val="TableNumber"/>
              <w:numPr>
                <w:ilvl w:val="0"/>
                <w:numId w:val="33"/>
              </w:numPr>
            </w:pPr>
            <w:r>
              <w:t>planning proposals for land identified as being prone to inundation must demonstrate how it is proposed to plan for and appropriately manage coastal hazards, including risk to public utility infrastructure servicing the land and roads which provide public access to the land.</w:t>
            </w:r>
          </w:p>
          <w:p w14:paraId="1D5B342B" w14:textId="77777777" w:rsidR="00615155" w:rsidRDefault="00615155" w:rsidP="001D05D4">
            <w:pPr>
              <w:pStyle w:val="TableNumber"/>
              <w:numPr>
                <w:ilvl w:val="0"/>
                <w:numId w:val="33"/>
              </w:numPr>
            </w:pPr>
            <w:r>
              <w:t>planning proposals for land adjacent to the coast must include provision for a coastal foreshore reserve which is to be ceded free of cost to the Crown without payment of compensation. The coastal foreshore reserve width is to include a suitable allowance for coastal processes, in addition to sufficient land which is not vulnerable to coastal processes in order to provide for continued coastal foreshore management, public access, recreation, conservation and landscape amenity.</w:t>
            </w:r>
          </w:p>
          <w:p w14:paraId="4EED1F5A" w14:textId="77777777" w:rsidR="00615155" w:rsidRPr="00AF27CF" w:rsidRDefault="00615155" w:rsidP="001D05D4">
            <w:pPr>
              <w:pStyle w:val="TableBullet"/>
              <w:numPr>
                <w:ilvl w:val="0"/>
                <w:numId w:val="0"/>
              </w:numPr>
              <w:rPr>
                <w:u w:val="single"/>
              </w:rPr>
            </w:pPr>
            <w:r w:rsidRPr="00AF27CF">
              <w:rPr>
                <w:u w:val="single"/>
              </w:rPr>
              <w:t>Subdivision:</w:t>
            </w:r>
          </w:p>
          <w:p w14:paraId="79D88F57" w14:textId="77777777" w:rsidR="00615155" w:rsidRDefault="00615155" w:rsidP="001D05D4">
            <w:pPr>
              <w:pStyle w:val="TableNumber"/>
              <w:numPr>
                <w:ilvl w:val="0"/>
                <w:numId w:val="35"/>
              </w:numPr>
            </w:pPr>
            <w:r>
              <w:t xml:space="preserve">For subdivision applications </w:t>
            </w:r>
            <w:r w:rsidRPr="00EA38FA">
              <w:t xml:space="preserve">for land </w:t>
            </w:r>
            <w:r>
              <w:t>identified as being prone to inundation, the City will need to be satisfied that the subdivision will not lead to development at risk of coastal hazard, and in particular:</w:t>
            </w:r>
          </w:p>
          <w:p w14:paraId="04000009" w14:textId="77777777" w:rsidR="00615155" w:rsidRDefault="00615155" w:rsidP="001D05D4">
            <w:pPr>
              <w:pStyle w:val="TableBullet"/>
              <w:numPr>
                <w:ilvl w:val="0"/>
                <w:numId w:val="36"/>
              </w:numPr>
              <w:spacing w:before="80" w:after="40" w:line="276" w:lineRule="auto"/>
            </w:pPr>
            <w:r>
              <w:t>for subdivision of land in an urban area, the finished surface level of all new roads and lots within the subdivision area must be at or above 3.02m AHD.</w:t>
            </w:r>
          </w:p>
          <w:p w14:paraId="0F0DFD77" w14:textId="77777777" w:rsidR="00615155" w:rsidRDefault="00615155" w:rsidP="001D05D4">
            <w:pPr>
              <w:pStyle w:val="TableBullet"/>
              <w:numPr>
                <w:ilvl w:val="0"/>
                <w:numId w:val="36"/>
              </w:numPr>
              <w:spacing w:before="80" w:after="40" w:line="276" w:lineRule="auto"/>
            </w:pPr>
            <w:r>
              <w:t>public road access to the new lots must not be subject to inundation to the extent that would result in difficulty providing evacuation during a coastal inundation event.</w:t>
            </w:r>
          </w:p>
          <w:p w14:paraId="26C16771" w14:textId="77777777" w:rsidR="00615155" w:rsidRPr="00AF27CF" w:rsidRDefault="00615155" w:rsidP="001D05D4">
            <w:pPr>
              <w:pStyle w:val="TableBullet"/>
              <w:numPr>
                <w:ilvl w:val="0"/>
                <w:numId w:val="0"/>
              </w:numPr>
              <w:rPr>
                <w:u w:val="single"/>
              </w:rPr>
            </w:pPr>
            <w:r w:rsidRPr="00AF27CF">
              <w:rPr>
                <w:u w:val="single"/>
              </w:rPr>
              <w:t>Development:</w:t>
            </w:r>
          </w:p>
          <w:p w14:paraId="64AA3024" w14:textId="77777777" w:rsidR="00615155" w:rsidRDefault="00615155" w:rsidP="001D05D4">
            <w:pPr>
              <w:pStyle w:val="TableNumber"/>
              <w:numPr>
                <w:ilvl w:val="0"/>
                <w:numId w:val="37"/>
              </w:numPr>
            </w:pPr>
            <w:r w:rsidRPr="009474B8">
              <w:rPr>
                <w:lang w:val="en-GB"/>
              </w:rPr>
              <w:t xml:space="preserve">Habitable rooms for residential buildings and net lettable areas for commercial, retail or community buildings require minimum finished floor level of at least 3.02m AHD with a 300mm freeboard, </w:t>
            </w:r>
            <w:r w:rsidRPr="007467E7">
              <w:t>wit</w:t>
            </w:r>
            <w:r>
              <w:t>h the exception of the following which may be considered below this level:</w:t>
            </w:r>
          </w:p>
          <w:p w14:paraId="7005C9F7" w14:textId="77777777" w:rsidR="00615155" w:rsidRPr="00E93A69" w:rsidRDefault="00615155" w:rsidP="001D05D4">
            <w:pPr>
              <w:pStyle w:val="TableBullet"/>
              <w:numPr>
                <w:ilvl w:val="0"/>
                <w:numId w:val="38"/>
              </w:numPr>
              <w:spacing w:before="80" w:after="40" w:line="276" w:lineRule="auto"/>
            </w:pPr>
            <w:r>
              <w:t>Minor additions and alterations to buildings which exist at the date of adoption of this Policy, where the minimum finished floor level is not reasonably practicable or desirable in a particular instance; or</w:t>
            </w:r>
          </w:p>
        </w:tc>
      </w:tr>
      <w:tr w:rsidR="00615155" w14:paraId="4A23C2B5" w14:textId="77777777" w:rsidTr="001D05D4">
        <w:tc>
          <w:tcPr>
            <w:tcW w:w="0" w:type="dxa"/>
            <w:tcBorders>
              <w:top w:val="nil"/>
            </w:tcBorders>
          </w:tcPr>
          <w:p w14:paraId="160EB4FE" w14:textId="77777777" w:rsidR="00615155" w:rsidRPr="00DB7F37" w:rsidRDefault="00615155" w:rsidP="001D05D4">
            <w:pPr>
              <w:pStyle w:val="TableBullet"/>
              <w:numPr>
                <w:ilvl w:val="0"/>
                <w:numId w:val="38"/>
              </w:numPr>
              <w:spacing w:before="80" w:after="40" w:line="276" w:lineRule="auto"/>
            </w:pPr>
            <w:r>
              <w:t xml:space="preserve">Non-habitable buildings or floorspace such as outbuildings, carports, or the lower floor level of buildings between the natural ground level and the habitable floor level where the non-habitable purpose is noted on the application for development approval and/or building permit as such and therefore solely used for the labelled purpose. </w:t>
            </w:r>
          </w:p>
          <w:p w14:paraId="4D423742" w14:textId="77777777" w:rsidR="00615155" w:rsidRPr="00AF27CF" w:rsidRDefault="00615155" w:rsidP="001D05D4">
            <w:pPr>
              <w:pStyle w:val="TableNumber"/>
              <w:numPr>
                <w:ilvl w:val="0"/>
                <w:numId w:val="33"/>
              </w:numPr>
              <w:rPr>
                <w:lang w:val="en-GB"/>
              </w:rPr>
            </w:pPr>
            <w:r w:rsidRPr="00AF27CF">
              <w:rPr>
                <w:lang w:val="en-GB"/>
              </w:rPr>
              <w:t xml:space="preserve">Where the filling of land is proposed to achieve minimum finished floor levels, the design and </w:t>
            </w:r>
            <w:r>
              <w:rPr>
                <w:lang w:val="en-GB"/>
              </w:rPr>
              <w:t xml:space="preserve">extent of fill and any </w:t>
            </w:r>
            <w:r w:rsidRPr="00AF27CF">
              <w:rPr>
                <w:lang w:val="en-GB"/>
              </w:rPr>
              <w:t xml:space="preserve">retaining walls shall not create an adverse impact of inundation levels on </w:t>
            </w:r>
            <w:r>
              <w:rPr>
                <w:lang w:val="en-GB"/>
              </w:rPr>
              <w:t>adjacent</w:t>
            </w:r>
            <w:r w:rsidRPr="00AF27CF">
              <w:rPr>
                <w:lang w:val="en-GB"/>
              </w:rPr>
              <w:t xml:space="preserve"> properties</w:t>
            </w:r>
            <w:r>
              <w:rPr>
                <w:lang w:val="en-GB"/>
              </w:rPr>
              <w:t xml:space="preserve"> or the amenity of the locality. </w:t>
            </w:r>
          </w:p>
          <w:p w14:paraId="004EC7A8" w14:textId="77777777" w:rsidR="00615155" w:rsidRPr="00210098" w:rsidRDefault="00615155" w:rsidP="001D05D4">
            <w:pPr>
              <w:pStyle w:val="TableNumber"/>
              <w:numPr>
                <w:ilvl w:val="0"/>
                <w:numId w:val="33"/>
              </w:numPr>
              <w:rPr>
                <w:lang w:val="en-GB"/>
              </w:rPr>
            </w:pPr>
            <w:r w:rsidRPr="00AF27CF">
              <w:rPr>
                <w:lang w:val="en-GB"/>
              </w:rPr>
              <w:t xml:space="preserve">All </w:t>
            </w:r>
            <w:r>
              <w:rPr>
                <w:lang w:val="en-GB"/>
              </w:rPr>
              <w:t>utility</w:t>
            </w:r>
            <w:r w:rsidRPr="00AF27CF">
              <w:rPr>
                <w:lang w:val="en-GB"/>
              </w:rPr>
              <w:t xml:space="preserve"> service</w:t>
            </w:r>
            <w:r>
              <w:rPr>
                <w:lang w:val="en-GB"/>
              </w:rPr>
              <w:t xml:space="preserve"> connections</w:t>
            </w:r>
            <w:r w:rsidRPr="00AF27CF">
              <w:rPr>
                <w:lang w:val="en-GB"/>
              </w:rPr>
              <w:t xml:space="preserve"> including </w:t>
            </w:r>
            <w:r>
              <w:rPr>
                <w:lang w:val="en-GB"/>
              </w:rPr>
              <w:t xml:space="preserve">power points, light switches, communications connections, sewer vents and the like shall be elevated and/or designed to be protected from the impacts of inundation. </w:t>
            </w:r>
            <w:r w:rsidRPr="00210098">
              <w:rPr>
                <w:lang w:val="en-GB"/>
              </w:rPr>
              <w:t xml:space="preserve">The </w:t>
            </w:r>
            <w:r>
              <w:rPr>
                <w:lang w:val="en-GB"/>
              </w:rPr>
              <w:t>City</w:t>
            </w:r>
            <w:r w:rsidRPr="00210098">
              <w:rPr>
                <w:lang w:val="en-GB"/>
              </w:rPr>
              <w:t xml:space="preserve"> may require information to demonstrate how this will be achieved or apply conditions to this effect. </w:t>
            </w:r>
          </w:p>
          <w:p w14:paraId="694E21FD" w14:textId="77777777" w:rsidR="00615155" w:rsidRDefault="00615155" w:rsidP="001D05D4">
            <w:pPr>
              <w:pStyle w:val="TableNumber"/>
              <w:numPr>
                <w:ilvl w:val="0"/>
                <w:numId w:val="33"/>
              </w:numPr>
              <w:rPr>
                <w:lang w:val="en-GB"/>
              </w:rPr>
            </w:pPr>
            <w:r w:rsidRPr="00AF27CF">
              <w:rPr>
                <w:lang w:val="en-GB"/>
              </w:rPr>
              <w:t xml:space="preserve">Buildings designed to withstand structural loads associated with inundation, including water resistant building materials and construction methods. The </w:t>
            </w:r>
            <w:r>
              <w:rPr>
                <w:lang w:val="en-GB"/>
              </w:rPr>
              <w:t>City</w:t>
            </w:r>
            <w:r w:rsidRPr="00AF27CF">
              <w:rPr>
                <w:lang w:val="en-GB"/>
              </w:rPr>
              <w:t xml:space="preserve"> may require information </w:t>
            </w:r>
            <w:r>
              <w:rPr>
                <w:lang w:val="en-GB"/>
              </w:rPr>
              <w:t xml:space="preserve">from a structural engineer </w:t>
            </w:r>
            <w:r w:rsidRPr="00AF27CF">
              <w:rPr>
                <w:lang w:val="en-GB"/>
              </w:rPr>
              <w:t>to demonstrate how this will be achieved or apply conditions to this effect.</w:t>
            </w:r>
          </w:p>
          <w:p w14:paraId="757ADC52" w14:textId="77777777" w:rsidR="00615155" w:rsidRPr="00210098" w:rsidRDefault="00615155" w:rsidP="001D05D4">
            <w:pPr>
              <w:pStyle w:val="TableNumber"/>
              <w:numPr>
                <w:ilvl w:val="0"/>
                <w:numId w:val="33"/>
              </w:numPr>
              <w:rPr>
                <w:lang w:val="en-GB"/>
              </w:rPr>
            </w:pPr>
            <w:r>
              <w:t>Where reticulated sewerage is not provided to the land, the onsite effluent disposal system must be an aerobic treatment unit with nutrient retentive capacity to the satisfaction of the City and be designed to withstand inundation events.</w:t>
            </w:r>
          </w:p>
          <w:p w14:paraId="05633638" w14:textId="77777777" w:rsidR="00615155" w:rsidRDefault="00615155" w:rsidP="001D05D4">
            <w:pPr>
              <w:pStyle w:val="TableNumber"/>
              <w:numPr>
                <w:ilvl w:val="0"/>
                <w:numId w:val="33"/>
              </w:numPr>
            </w:pPr>
            <w:r w:rsidRPr="00210098">
              <w:t>All development approvals will include a condition requiring a notification to be placed on the certificate of title of the subject land pursuant to section 70A of the Transfer of Land Act 1893 to alert prospective purchasers that the land is located within an area likely to be subject to coastal hazard within the period to 212</w:t>
            </w:r>
            <w:r>
              <w:t>2</w:t>
            </w:r>
            <w:r w:rsidRPr="00210098">
              <w:t>, except where the coastal hazard will be adequately addressed through the development works or is otherwise suitably addressed.</w:t>
            </w:r>
          </w:p>
        </w:tc>
      </w:tr>
      <w:tr w:rsidR="00615155" w14:paraId="42177DF3" w14:textId="77777777" w:rsidTr="001D05D4">
        <w:tc>
          <w:tcPr>
            <w:tcW w:w="9628" w:type="dxa"/>
          </w:tcPr>
          <w:p w14:paraId="58F174B7" w14:textId="77777777" w:rsidR="00615155" w:rsidRPr="009474B8" w:rsidRDefault="00615155" w:rsidP="001D05D4">
            <w:pPr>
              <w:pStyle w:val="TableText"/>
              <w:rPr>
                <w:b/>
                <w:bCs/>
              </w:rPr>
            </w:pPr>
            <w:r w:rsidRPr="009474B8">
              <w:rPr>
                <w:b/>
                <w:bCs/>
                <w:color w:val="000000" w:themeColor="text1"/>
              </w:rPr>
              <w:t>Appendix 1 – Coastal Hazard Policy Area Map</w:t>
            </w:r>
          </w:p>
        </w:tc>
      </w:tr>
      <w:tr w:rsidR="00615155" w14:paraId="4CF3F09C" w14:textId="77777777" w:rsidTr="001D05D4">
        <w:tc>
          <w:tcPr>
            <w:tcW w:w="9628" w:type="dxa"/>
          </w:tcPr>
          <w:p w14:paraId="1A47BB95" w14:textId="77777777" w:rsidR="00615155" w:rsidRDefault="00615155" w:rsidP="001D05D4">
            <w:pPr>
              <w:pStyle w:val="TableText"/>
            </w:pPr>
            <w:r>
              <w:rPr>
                <w:noProof/>
              </w:rPr>
              <w:lastRenderedPageBreak/>
              <w:drawing>
                <wp:inline distT="0" distB="0" distL="0" distR="0" wp14:anchorId="45627454" wp14:editId="6D158451">
                  <wp:extent cx="5627140" cy="3904584"/>
                  <wp:effectExtent l="0" t="0" r="0" b="6350"/>
                  <wp:docPr id="20848486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92">
                            <a:extLst>
                              <a:ext uri="{28A0092B-C50C-407E-A947-70E740481C1C}">
                                <a14:useLocalDpi xmlns:a14="http://schemas.microsoft.com/office/drawing/2010/main" val="0"/>
                              </a:ext>
                            </a:extLst>
                          </a:blip>
                          <a:stretch>
                            <a:fillRect/>
                          </a:stretch>
                        </pic:blipFill>
                        <pic:spPr>
                          <a:xfrm>
                            <a:off x="0" y="0"/>
                            <a:ext cx="5627140" cy="3904584"/>
                          </a:xfrm>
                          <a:prstGeom prst="rect">
                            <a:avLst/>
                          </a:prstGeom>
                        </pic:spPr>
                      </pic:pic>
                    </a:graphicData>
                  </a:graphic>
                </wp:inline>
              </w:drawing>
            </w:r>
          </w:p>
        </w:tc>
      </w:tr>
    </w:tbl>
    <w:p w14:paraId="2A267A98" w14:textId="77777777" w:rsidR="00615155" w:rsidRDefault="00615155">
      <w:pPr>
        <w:spacing w:before="80" w:after="80"/>
        <w:rPr>
          <w:sz w:val="24"/>
        </w:rPr>
      </w:pPr>
    </w:p>
    <w:p w14:paraId="4511F06F" w14:textId="77777777" w:rsidR="00615155" w:rsidRDefault="00615155">
      <w:pPr>
        <w:spacing w:before="80" w:after="80"/>
        <w:rPr>
          <w:sz w:val="24"/>
        </w:rPr>
      </w:pPr>
      <w:r>
        <w:rPr>
          <w:sz w:val="24"/>
        </w:rPr>
        <w:br w:type="page"/>
      </w:r>
    </w:p>
    <w:p w14:paraId="219680D3" w14:textId="2139E4F9" w:rsidR="00CB4785" w:rsidRDefault="00CB4785" w:rsidP="001906FC">
      <w:pPr>
        <w:spacing w:before="80" w:after="80"/>
        <w:rPr>
          <w:sz w:val="24"/>
        </w:rPr>
      </w:pPr>
      <w:r>
        <w:rPr>
          <w:noProof/>
        </w:rPr>
        <w:lastRenderedPageBreak/>
        <w:drawing>
          <wp:anchor distT="0" distB="0" distL="114300" distR="114300" simplePos="0" relativeHeight="251651072" behindDoc="0" locked="1" layoutInCell="1" allowOverlap="1" wp14:anchorId="0311B2BD" wp14:editId="361AEF3C">
            <wp:simplePos x="0" y="0"/>
            <wp:positionH relativeFrom="margin">
              <wp:posOffset>0</wp:posOffset>
            </wp:positionH>
            <wp:positionV relativeFrom="page">
              <wp:posOffset>360045</wp:posOffset>
            </wp:positionV>
            <wp:extent cx="1943735" cy="932180"/>
            <wp:effectExtent l="0" t="0" r="0" b="1270"/>
            <wp:wrapNone/>
            <wp:docPr id="13577597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43735" cy="932180"/>
                    </a:xfrm>
                    <a:prstGeom prst="rect">
                      <a:avLst/>
                    </a:prstGeom>
                    <a:noFill/>
                  </pic:spPr>
                </pic:pic>
              </a:graphicData>
            </a:graphic>
            <wp14:sizeRelH relativeFrom="margin">
              <wp14:pctWidth>0</wp14:pctWidth>
            </wp14:sizeRelH>
            <wp14:sizeRelV relativeFrom="margin">
              <wp14:pctHeight>0</wp14:pctHeight>
            </wp14:sizeRelV>
          </wp:anchor>
        </w:drawing>
      </w:r>
      <w:bookmarkEnd w:id="358"/>
    </w:p>
    <w:tbl>
      <w:tblPr>
        <w:tblStyle w:val="TableNoBorders"/>
        <w:tblpPr w:leftFromText="181" w:rightFromText="181" w:horzAnchor="margin" w:tblpYSpec="bottom"/>
        <w:tblOverlap w:val="never"/>
        <w:tblW w:w="5000" w:type="pct"/>
        <w:tblLook w:val="0600" w:firstRow="0" w:lastRow="0" w:firstColumn="0" w:lastColumn="0" w:noHBand="1" w:noVBand="1"/>
      </w:tblPr>
      <w:tblGrid>
        <w:gridCol w:w="4819"/>
        <w:gridCol w:w="4819"/>
      </w:tblGrid>
      <w:tr w:rsidR="00CB4785" w14:paraId="7077D9F4" w14:textId="77777777" w:rsidTr="00885DD4">
        <w:tc>
          <w:tcPr>
            <w:tcW w:w="2500" w:type="pct"/>
            <w:hideMark/>
          </w:tcPr>
          <w:p w14:paraId="25D8F2A6" w14:textId="77777777" w:rsidR="00CB4785" w:rsidRPr="00885DD4" w:rsidRDefault="00CB4785" w:rsidP="00D75EB6">
            <w:pPr>
              <w:pStyle w:val="BackCoverOfficeTitle"/>
              <w:framePr w:hSpace="0" w:wrap="auto" w:vAnchor="margin" w:hAnchor="text" w:yAlign="inline"/>
              <w:tabs>
                <w:tab w:val="clear" w:pos="1418"/>
                <w:tab w:val="left" w:pos="1701"/>
              </w:tabs>
              <w:spacing w:before="120"/>
              <w:rPr>
                <w:sz w:val="28"/>
              </w:rPr>
            </w:pPr>
            <w:r w:rsidRPr="00885DD4">
              <w:rPr>
                <w:sz w:val="28"/>
              </w:rPr>
              <w:t>Melbourne</w:t>
            </w:r>
          </w:p>
          <w:p w14:paraId="0EE19589"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15 Business Park Drive</w:t>
            </w:r>
          </w:p>
          <w:p w14:paraId="7F326A54"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Notting Hill VIC 3168</w:t>
            </w:r>
          </w:p>
          <w:p w14:paraId="4C26163F" w14:textId="77777777" w:rsidR="00CB4785" w:rsidRPr="00885DD4" w:rsidRDefault="00CB4785" w:rsidP="00885DD4">
            <w:pPr>
              <w:pStyle w:val="BackCoverAddress"/>
              <w:framePr w:hSpace="0" w:wrap="auto" w:vAnchor="margin" w:hAnchor="text" w:yAlign="inline"/>
              <w:tabs>
                <w:tab w:val="clear" w:pos="1418"/>
                <w:tab w:val="left" w:pos="1276"/>
              </w:tabs>
              <w:rPr>
                <w:sz w:val="22"/>
              </w:rPr>
            </w:pPr>
            <w:r w:rsidRPr="00885DD4">
              <w:rPr>
                <w:sz w:val="22"/>
              </w:rPr>
              <w:t>Telephone</w:t>
            </w:r>
            <w:r w:rsidRPr="00885DD4">
              <w:rPr>
                <w:sz w:val="22"/>
              </w:rPr>
              <w:tab/>
              <w:t>(03) 8526 0800</w:t>
            </w:r>
          </w:p>
        </w:tc>
        <w:tc>
          <w:tcPr>
            <w:tcW w:w="2500" w:type="pct"/>
            <w:hideMark/>
          </w:tcPr>
          <w:p w14:paraId="6C3040EE" w14:textId="77777777" w:rsidR="00CB4785" w:rsidRPr="00885DD4" w:rsidRDefault="00CB4785" w:rsidP="00D75EB6">
            <w:pPr>
              <w:pStyle w:val="BackCoverOfficeTitle"/>
              <w:framePr w:hSpace="0" w:wrap="auto" w:vAnchor="margin" w:hAnchor="text" w:yAlign="inline"/>
              <w:tabs>
                <w:tab w:val="clear" w:pos="1418"/>
                <w:tab w:val="left" w:pos="1701"/>
              </w:tabs>
              <w:spacing w:before="120"/>
              <w:rPr>
                <w:sz w:val="28"/>
              </w:rPr>
            </w:pPr>
            <w:r w:rsidRPr="00885DD4">
              <w:rPr>
                <w:sz w:val="28"/>
              </w:rPr>
              <w:t>Sydney</w:t>
            </w:r>
          </w:p>
          <w:p w14:paraId="1237E6B2" w14:textId="77777777" w:rsidR="00CB4785" w:rsidRPr="00885DD4" w:rsidRDefault="00CB4785" w:rsidP="00885DD4">
            <w:pPr>
              <w:pStyle w:val="BackCoverAddress"/>
              <w:framePr w:hSpace="0" w:wrap="auto" w:vAnchor="margin" w:hAnchor="text" w:yAlign="inline"/>
              <w:tabs>
                <w:tab w:val="clear" w:pos="1418"/>
                <w:tab w:val="left" w:pos="1701"/>
              </w:tabs>
              <w:rPr>
                <w:rFonts w:eastAsia="Times New Roman"/>
                <w:sz w:val="22"/>
              </w:rPr>
            </w:pPr>
            <w:r w:rsidRPr="00885DD4">
              <w:rPr>
                <w:rFonts w:eastAsia="Times New Roman"/>
                <w:sz w:val="22"/>
              </w:rPr>
              <w:t>Suite 3, Level 1, 20 Wentworth Street</w:t>
            </w:r>
          </w:p>
          <w:p w14:paraId="0599F470"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Parramatta NSW 2150</w:t>
            </w:r>
          </w:p>
          <w:p w14:paraId="7E4321E2" w14:textId="77777777" w:rsidR="00CB4785" w:rsidRPr="00885DD4" w:rsidRDefault="00CB4785" w:rsidP="00885DD4">
            <w:pPr>
              <w:pStyle w:val="BackCoverAddress"/>
              <w:framePr w:hSpace="0" w:wrap="auto" w:vAnchor="margin" w:hAnchor="text" w:yAlign="inline"/>
              <w:tabs>
                <w:tab w:val="clear" w:pos="1418"/>
                <w:tab w:val="left" w:pos="1276"/>
              </w:tabs>
              <w:rPr>
                <w:sz w:val="22"/>
              </w:rPr>
            </w:pPr>
            <w:r w:rsidRPr="00885DD4">
              <w:rPr>
                <w:sz w:val="22"/>
              </w:rPr>
              <w:t>Telephone</w:t>
            </w:r>
            <w:r w:rsidRPr="00885DD4">
              <w:rPr>
                <w:sz w:val="22"/>
              </w:rPr>
              <w:tab/>
              <w:t>(02) 9354 0300</w:t>
            </w:r>
          </w:p>
        </w:tc>
      </w:tr>
      <w:tr w:rsidR="00CB4785" w14:paraId="65ACEBEC" w14:textId="77777777" w:rsidTr="00885DD4">
        <w:tc>
          <w:tcPr>
            <w:tcW w:w="2500" w:type="pct"/>
            <w:hideMark/>
          </w:tcPr>
          <w:p w14:paraId="40F15369" w14:textId="77777777" w:rsidR="00CB4785" w:rsidRPr="00885DD4" w:rsidRDefault="00CB4785" w:rsidP="00D75EB6">
            <w:pPr>
              <w:pStyle w:val="BackCoverOfficeTitle"/>
              <w:framePr w:hSpace="0" w:wrap="auto" w:vAnchor="margin" w:hAnchor="text" w:yAlign="inline"/>
              <w:tabs>
                <w:tab w:val="clear" w:pos="1418"/>
                <w:tab w:val="left" w:pos="1701"/>
              </w:tabs>
              <w:spacing w:before="720"/>
              <w:rPr>
                <w:sz w:val="28"/>
              </w:rPr>
            </w:pPr>
            <w:r w:rsidRPr="00885DD4">
              <w:rPr>
                <w:sz w:val="28"/>
              </w:rPr>
              <w:t>Brisbane</w:t>
            </w:r>
          </w:p>
          <w:p w14:paraId="0519C109"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Level 5, 43 Peel Street</w:t>
            </w:r>
          </w:p>
          <w:p w14:paraId="480F1A3C"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South Brisbane QLD 4101</w:t>
            </w:r>
          </w:p>
          <w:p w14:paraId="066E50D5" w14:textId="77777777" w:rsidR="00CB4785" w:rsidRPr="00885DD4" w:rsidRDefault="00CB4785" w:rsidP="00885DD4">
            <w:pPr>
              <w:pStyle w:val="BackCoverAddress"/>
              <w:framePr w:hSpace="0" w:wrap="auto" w:vAnchor="margin" w:hAnchor="text" w:yAlign="inline"/>
              <w:tabs>
                <w:tab w:val="clear" w:pos="1418"/>
                <w:tab w:val="left" w:pos="1276"/>
              </w:tabs>
              <w:rPr>
                <w:sz w:val="22"/>
              </w:rPr>
            </w:pPr>
            <w:r w:rsidRPr="00885DD4">
              <w:rPr>
                <w:sz w:val="22"/>
              </w:rPr>
              <w:t>Telephone</w:t>
            </w:r>
            <w:r w:rsidRPr="00885DD4">
              <w:rPr>
                <w:sz w:val="22"/>
              </w:rPr>
              <w:tab/>
              <w:t>(07) 3105 1460</w:t>
            </w:r>
          </w:p>
        </w:tc>
        <w:tc>
          <w:tcPr>
            <w:tcW w:w="2500" w:type="pct"/>
            <w:hideMark/>
          </w:tcPr>
          <w:p w14:paraId="511FB778" w14:textId="77777777" w:rsidR="00CB4785" w:rsidRPr="00885DD4" w:rsidRDefault="00CB4785" w:rsidP="00D75EB6">
            <w:pPr>
              <w:pStyle w:val="BackCoverOfficeTitle"/>
              <w:framePr w:hSpace="0" w:wrap="auto" w:vAnchor="margin" w:hAnchor="text" w:yAlign="inline"/>
              <w:tabs>
                <w:tab w:val="clear" w:pos="1418"/>
                <w:tab w:val="left" w:pos="1701"/>
              </w:tabs>
              <w:spacing w:before="720"/>
              <w:rPr>
                <w:sz w:val="28"/>
              </w:rPr>
            </w:pPr>
            <w:r w:rsidRPr="00885DD4">
              <w:rPr>
                <w:sz w:val="28"/>
              </w:rPr>
              <w:t>Adelaide</w:t>
            </w:r>
          </w:p>
          <w:p w14:paraId="48CE6A5C"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rFonts w:ascii="Arial" w:hAnsi="Arial" w:cs="Arial"/>
                <w:sz w:val="22"/>
              </w:rPr>
              <w:t>1/198 Greenhill Road</w:t>
            </w:r>
          </w:p>
          <w:p w14:paraId="31D31740"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rFonts w:ascii="Arial" w:hAnsi="Arial" w:cs="Arial"/>
                <w:sz w:val="22"/>
              </w:rPr>
              <w:t>Eastwood SA 5063</w:t>
            </w:r>
          </w:p>
          <w:p w14:paraId="0A2FC533" w14:textId="77777777" w:rsidR="00CB4785" w:rsidRPr="00885DD4" w:rsidRDefault="00CB4785" w:rsidP="00885DD4">
            <w:pPr>
              <w:pStyle w:val="BackCoverAddress"/>
              <w:framePr w:hSpace="0" w:wrap="auto" w:vAnchor="margin" w:hAnchor="text" w:yAlign="inline"/>
              <w:tabs>
                <w:tab w:val="clear" w:pos="1418"/>
                <w:tab w:val="left" w:pos="1276"/>
              </w:tabs>
              <w:rPr>
                <w:sz w:val="22"/>
              </w:rPr>
            </w:pPr>
            <w:r w:rsidRPr="00885DD4">
              <w:rPr>
                <w:sz w:val="22"/>
              </w:rPr>
              <w:t>Telephone</w:t>
            </w:r>
            <w:r w:rsidRPr="00885DD4">
              <w:rPr>
                <w:sz w:val="22"/>
              </w:rPr>
              <w:tab/>
              <w:t>(08) 8378 8000</w:t>
            </w:r>
          </w:p>
        </w:tc>
      </w:tr>
      <w:tr w:rsidR="00CB4785" w14:paraId="357A5AD7" w14:textId="77777777" w:rsidTr="00885DD4">
        <w:tc>
          <w:tcPr>
            <w:tcW w:w="2500" w:type="pct"/>
            <w:hideMark/>
          </w:tcPr>
          <w:p w14:paraId="35E3B7FE" w14:textId="77777777" w:rsidR="00CB4785" w:rsidRPr="00885DD4" w:rsidRDefault="00CB4785" w:rsidP="00D75EB6">
            <w:pPr>
              <w:pStyle w:val="BackCoverOfficeTitle"/>
              <w:framePr w:hSpace="0" w:wrap="auto" w:vAnchor="margin" w:hAnchor="text" w:yAlign="inline"/>
              <w:tabs>
                <w:tab w:val="clear" w:pos="1418"/>
                <w:tab w:val="left" w:pos="1701"/>
              </w:tabs>
              <w:spacing w:before="720"/>
              <w:rPr>
                <w:sz w:val="28"/>
              </w:rPr>
            </w:pPr>
            <w:r w:rsidRPr="00885DD4">
              <w:rPr>
                <w:sz w:val="28"/>
              </w:rPr>
              <w:t>Perth</w:t>
            </w:r>
          </w:p>
          <w:p w14:paraId="7C165D64" w14:textId="77777777" w:rsidR="00CB4785" w:rsidRDefault="00CB4785" w:rsidP="00885DD4">
            <w:pPr>
              <w:pStyle w:val="BackCoverAddress"/>
              <w:framePr w:hSpace="0" w:wrap="auto" w:vAnchor="margin" w:hAnchor="text" w:yAlign="inline"/>
              <w:tabs>
                <w:tab w:val="clear" w:pos="1418"/>
                <w:tab w:val="left" w:pos="1701"/>
              </w:tabs>
              <w:rPr>
                <w:rFonts w:eastAsia="Times New Roman"/>
                <w:sz w:val="22"/>
              </w:rPr>
            </w:pPr>
            <w:r w:rsidRPr="0029426E">
              <w:rPr>
                <w:rFonts w:eastAsia="Times New Roman"/>
                <w:sz w:val="22"/>
              </w:rPr>
              <w:t>Level 1, 21 Adelaide Street</w:t>
            </w:r>
          </w:p>
          <w:p w14:paraId="0109C888"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29426E">
              <w:rPr>
                <w:rFonts w:eastAsia="Times New Roman"/>
                <w:sz w:val="22"/>
              </w:rPr>
              <w:t>Fremantle WA 6160</w:t>
            </w:r>
          </w:p>
          <w:p w14:paraId="6F5EBEFA" w14:textId="77777777" w:rsidR="00CB4785" w:rsidRPr="00885DD4" w:rsidRDefault="00CB4785" w:rsidP="00885DD4">
            <w:pPr>
              <w:pStyle w:val="BackCoverAddress"/>
              <w:framePr w:hSpace="0" w:wrap="auto" w:vAnchor="margin" w:hAnchor="text" w:yAlign="inline"/>
              <w:tabs>
                <w:tab w:val="clear" w:pos="1418"/>
                <w:tab w:val="left" w:pos="1276"/>
              </w:tabs>
              <w:rPr>
                <w:sz w:val="22"/>
              </w:rPr>
            </w:pPr>
            <w:r w:rsidRPr="00885DD4">
              <w:rPr>
                <w:sz w:val="22"/>
              </w:rPr>
              <w:t>Telephone</w:t>
            </w:r>
            <w:r w:rsidRPr="00885DD4">
              <w:rPr>
                <w:sz w:val="22"/>
              </w:rPr>
              <w:tab/>
              <w:t>(08) 6555 0105</w:t>
            </w:r>
          </w:p>
        </w:tc>
        <w:tc>
          <w:tcPr>
            <w:tcW w:w="2500" w:type="pct"/>
            <w:hideMark/>
          </w:tcPr>
          <w:p w14:paraId="20D17828" w14:textId="77777777" w:rsidR="00CB4785" w:rsidRPr="00885DD4" w:rsidRDefault="00CB4785" w:rsidP="00D75EB6">
            <w:pPr>
              <w:pStyle w:val="BackCoverOfficeTitle"/>
              <w:framePr w:hSpace="0" w:wrap="auto" w:vAnchor="margin" w:hAnchor="text" w:yAlign="inline"/>
              <w:tabs>
                <w:tab w:val="clear" w:pos="1418"/>
                <w:tab w:val="left" w:pos="1701"/>
              </w:tabs>
              <w:spacing w:before="720"/>
              <w:rPr>
                <w:sz w:val="28"/>
              </w:rPr>
            </w:pPr>
            <w:r w:rsidRPr="00885DD4">
              <w:rPr>
                <w:sz w:val="28"/>
              </w:rPr>
              <w:t>New Zealand</w:t>
            </w:r>
          </w:p>
          <w:p w14:paraId="1EFB54CD"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7/3 Empire Street</w:t>
            </w:r>
          </w:p>
          <w:p w14:paraId="2AF0EDC7"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Cambridge New Zealand 3434</w:t>
            </w:r>
          </w:p>
          <w:p w14:paraId="77DEB2B2" w14:textId="77777777" w:rsidR="00CB4785" w:rsidRPr="00885DD4" w:rsidRDefault="00CB4785" w:rsidP="00885DD4">
            <w:pPr>
              <w:pStyle w:val="BackCoverAddress"/>
              <w:framePr w:hSpace="0" w:wrap="auto" w:vAnchor="margin" w:hAnchor="text" w:yAlign="inline"/>
              <w:tabs>
                <w:tab w:val="clear" w:pos="1418"/>
                <w:tab w:val="left" w:pos="1276"/>
              </w:tabs>
              <w:rPr>
                <w:sz w:val="22"/>
              </w:rPr>
            </w:pPr>
            <w:r w:rsidRPr="00885DD4">
              <w:rPr>
                <w:sz w:val="22"/>
              </w:rPr>
              <w:t>Telephone</w:t>
            </w:r>
            <w:r w:rsidRPr="00885DD4">
              <w:rPr>
                <w:sz w:val="22"/>
              </w:rPr>
              <w:tab/>
              <w:t>+64 27 777 0989</w:t>
            </w:r>
          </w:p>
        </w:tc>
      </w:tr>
      <w:tr w:rsidR="00CB4785" w14:paraId="2E46347A" w14:textId="77777777" w:rsidTr="00885DD4">
        <w:tc>
          <w:tcPr>
            <w:tcW w:w="2500" w:type="pct"/>
            <w:hideMark/>
          </w:tcPr>
          <w:p w14:paraId="31FBAD78" w14:textId="77777777" w:rsidR="00CB4785" w:rsidRPr="00885DD4" w:rsidRDefault="00CB4785" w:rsidP="00D75EB6">
            <w:pPr>
              <w:pStyle w:val="BackCoverOfficeTitle"/>
              <w:framePr w:hSpace="0" w:wrap="auto" w:vAnchor="margin" w:hAnchor="text" w:yAlign="inline"/>
              <w:tabs>
                <w:tab w:val="clear" w:pos="1418"/>
                <w:tab w:val="left" w:pos="1701"/>
              </w:tabs>
              <w:spacing w:before="720"/>
              <w:rPr>
                <w:sz w:val="28"/>
              </w:rPr>
            </w:pPr>
            <w:r w:rsidRPr="00885DD4">
              <w:rPr>
                <w:sz w:val="28"/>
              </w:rPr>
              <w:t>Wangaratta</w:t>
            </w:r>
          </w:p>
          <w:p w14:paraId="1F3A9363"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First Floor, 40 Rowan Street</w:t>
            </w:r>
          </w:p>
          <w:p w14:paraId="2534F8AF"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Wangaratta VIC 3677</w:t>
            </w:r>
          </w:p>
          <w:p w14:paraId="7C35227E" w14:textId="77777777" w:rsidR="00CB4785" w:rsidRPr="00885DD4" w:rsidRDefault="00CB4785" w:rsidP="00885DD4">
            <w:pPr>
              <w:pStyle w:val="BackCoverAddress"/>
              <w:framePr w:hSpace="0" w:wrap="auto" w:vAnchor="margin" w:hAnchor="text" w:yAlign="inline"/>
              <w:tabs>
                <w:tab w:val="clear" w:pos="1418"/>
                <w:tab w:val="left" w:pos="1276"/>
              </w:tabs>
              <w:rPr>
                <w:sz w:val="22"/>
              </w:rPr>
            </w:pPr>
            <w:r w:rsidRPr="00885DD4">
              <w:rPr>
                <w:sz w:val="22"/>
              </w:rPr>
              <w:t>Telephone</w:t>
            </w:r>
            <w:r w:rsidRPr="00885DD4">
              <w:rPr>
                <w:sz w:val="22"/>
              </w:rPr>
              <w:tab/>
              <w:t>(03) 5721 2650</w:t>
            </w:r>
          </w:p>
        </w:tc>
        <w:tc>
          <w:tcPr>
            <w:tcW w:w="2500" w:type="pct"/>
            <w:hideMark/>
          </w:tcPr>
          <w:p w14:paraId="1D794292" w14:textId="77777777" w:rsidR="00CB4785" w:rsidRPr="00885DD4" w:rsidRDefault="00CB4785" w:rsidP="00D75EB6">
            <w:pPr>
              <w:pStyle w:val="BackCoverOfficeTitle"/>
              <w:framePr w:hSpace="0" w:wrap="auto" w:vAnchor="margin" w:hAnchor="text" w:yAlign="inline"/>
              <w:tabs>
                <w:tab w:val="clear" w:pos="1418"/>
                <w:tab w:val="left" w:pos="1701"/>
              </w:tabs>
              <w:spacing w:before="720"/>
              <w:rPr>
                <w:sz w:val="28"/>
              </w:rPr>
            </w:pPr>
            <w:r w:rsidRPr="00885DD4">
              <w:rPr>
                <w:sz w:val="28"/>
              </w:rPr>
              <w:t>Geelong</w:t>
            </w:r>
          </w:p>
          <w:p w14:paraId="4FFBAC30"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51 Little Fyans Street</w:t>
            </w:r>
          </w:p>
          <w:p w14:paraId="05097C6A"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Geelong VIC 3220</w:t>
            </w:r>
          </w:p>
          <w:p w14:paraId="57F6B337" w14:textId="77777777" w:rsidR="00CB4785" w:rsidRPr="00885DD4" w:rsidRDefault="00CB4785" w:rsidP="00885DD4">
            <w:pPr>
              <w:pStyle w:val="BackCoverAddress"/>
              <w:framePr w:hSpace="0" w:wrap="auto" w:vAnchor="margin" w:hAnchor="text" w:yAlign="inline"/>
              <w:tabs>
                <w:tab w:val="clear" w:pos="1418"/>
                <w:tab w:val="left" w:pos="1276"/>
              </w:tabs>
              <w:rPr>
                <w:sz w:val="22"/>
              </w:rPr>
            </w:pPr>
            <w:r w:rsidRPr="00885DD4">
              <w:rPr>
                <w:sz w:val="22"/>
              </w:rPr>
              <w:t>Telephone</w:t>
            </w:r>
            <w:r w:rsidRPr="00885DD4">
              <w:rPr>
                <w:sz w:val="22"/>
              </w:rPr>
              <w:tab/>
              <w:t>(03) 8526 0800</w:t>
            </w:r>
          </w:p>
        </w:tc>
      </w:tr>
      <w:tr w:rsidR="00CB4785" w14:paraId="1652C67B" w14:textId="77777777" w:rsidTr="00885DD4">
        <w:tc>
          <w:tcPr>
            <w:tcW w:w="2500" w:type="pct"/>
            <w:hideMark/>
          </w:tcPr>
          <w:p w14:paraId="5657EA96" w14:textId="77777777" w:rsidR="00CB4785" w:rsidRPr="00885DD4" w:rsidRDefault="00CB4785" w:rsidP="00D75EB6">
            <w:pPr>
              <w:pStyle w:val="BackCoverOfficeTitle"/>
              <w:framePr w:hSpace="0" w:wrap="auto" w:vAnchor="margin" w:hAnchor="text" w:yAlign="inline"/>
              <w:tabs>
                <w:tab w:val="clear" w:pos="1418"/>
                <w:tab w:val="left" w:pos="1701"/>
              </w:tabs>
              <w:spacing w:before="720"/>
              <w:rPr>
                <w:sz w:val="28"/>
              </w:rPr>
            </w:pPr>
            <w:r w:rsidRPr="00885DD4">
              <w:rPr>
                <w:sz w:val="28"/>
              </w:rPr>
              <w:t>Wimmera</w:t>
            </w:r>
          </w:p>
          <w:p w14:paraId="05CF542A" w14:textId="77777777" w:rsidR="00CB4785" w:rsidRPr="00EE2133" w:rsidRDefault="00CB4785" w:rsidP="00885DD4">
            <w:pPr>
              <w:pStyle w:val="BackCoverAddress"/>
              <w:framePr w:hSpace="0" w:wrap="auto" w:vAnchor="margin" w:hAnchor="text" w:yAlign="inline"/>
              <w:tabs>
                <w:tab w:val="clear" w:pos="1418"/>
                <w:tab w:val="left" w:pos="1701"/>
              </w:tabs>
              <w:rPr>
                <w:sz w:val="20"/>
                <w:szCs w:val="20"/>
              </w:rPr>
            </w:pPr>
            <w:r w:rsidRPr="00EE2133">
              <w:rPr>
                <w:sz w:val="22"/>
                <w:szCs w:val="20"/>
              </w:rPr>
              <w:t>597 Joel South Road</w:t>
            </w:r>
          </w:p>
          <w:p w14:paraId="7DDC704C"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sz w:val="22"/>
              </w:rPr>
              <w:t>Stawell VIC 3380</w:t>
            </w:r>
          </w:p>
          <w:p w14:paraId="0CCD17C9" w14:textId="77777777" w:rsidR="00CB4785" w:rsidRPr="00885DD4" w:rsidRDefault="00CB4785" w:rsidP="00885DD4">
            <w:pPr>
              <w:pStyle w:val="BackCoverAddress"/>
              <w:framePr w:hSpace="0" w:wrap="auto" w:vAnchor="margin" w:hAnchor="text" w:yAlign="inline"/>
              <w:tabs>
                <w:tab w:val="clear" w:pos="1418"/>
                <w:tab w:val="left" w:pos="1276"/>
              </w:tabs>
              <w:rPr>
                <w:sz w:val="22"/>
              </w:rPr>
            </w:pPr>
            <w:r w:rsidRPr="00885DD4">
              <w:rPr>
                <w:sz w:val="22"/>
              </w:rPr>
              <w:t>Telephone</w:t>
            </w:r>
            <w:r w:rsidRPr="00885DD4">
              <w:rPr>
                <w:sz w:val="22"/>
              </w:rPr>
              <w:tab/>
              <w:t>0438 510 240</w:t>
            </w:r>
          </w:p>
        </w:tc>
        <w:tc>
          <w:tcPr>
            <w:tcW w:w="2500" w:type="pct"/>
            <w:hideMark/>
          </w:tcPr>
          <w:p w14:paraId="33163D62" w14:textId="77777777" w:rsidR="00CB4785" w:rsidRPr="00885DD4" w:rsidRDefault="00CB4785" w:rsidP="00D75EB6">
            <w:pPr>
              <w:pStyle w:val="BackCoverOfficeTitle"/>
              <w:framePr w:hSpace="0" w:wrap="auto" w:vAnchor="margin" w:hAnchor="text" w:yAlign="inline"/>
              <w:tabs>
                <w:tab w:val="clear" w:pos="1418"/>
                <w:tab w:val="left" w:pos="1701"/>
              </w:tabs>
              <w:spacing w:before="720"/>
              <w:rPr>
                <w:sz w:val="28"/>
              </w:rPr>
            </w:pPr>
            <w:r w:rsidRPr="00885DD4">
              <w:rPr>
                <w:sz w:val="28"/>
              </w:rPr>
              <w:t>Gold Coast</w:t>
            </w:r>
          </w:p>
          <w:p w14:paraId="773D9763"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rFonts w:ascii="Arial" w:hAnsi="Arial" w:cs="Arial"/>
                <w:sz w:val="22"/>
              </w:rPr>
              <w:t>Suite 37, Level 4, 194 Varsity Parade</w:t>
            </w:r>
          </w:p>
          <w:p w14:paraId="10E5B96A" w14:textId="77777777" w:rsidR="00CB4785" w:rsidRPr="00885DD4" w:rsidRDefault="00CB4785" w:rsidP="00885DD4">
            <w:pPr>
              <w:pStyle w:val="BackCoverAddress"/>
              <w:framePr w:hSpace="0" w:wrap="auto" w:vAnchor="margin" w:hAnchor="text" w:yAlign="inline"/>
              <w:tabs>
                <w:tab w:val="clear" w:pos="1418"/>
                <w:tab w:val="left" w:pos="1701"/>
              </w:tabs>
              <w:rPr>
                <w:sz w:val="22"/>
              </w:rPr>
            </w:pPr>
            <w:r w:rsidRPr="00885DD4">
              <w:rPr>
                <w:rFonts w:ascii="Arial" w:hAnsi="Arial" w:cs="Arial"/>
                <w:sz w:val="22"/>
              </w:rPr>
              <w:t>Varsity Lakes QLD 4227</w:t>
            </w:r>
          </w:p>
          <w:p w14:paraId="5806C224" w14:textId="77777777" w:rsidR="00CB4785" w:rsidRPr="00885DD4" w:rsidRDefault="00CB4785" w:rsidP="00885DD4">
            <w:pPr>
              <w:pStyle w:val="BackCoverAddress"/>
              <w:framePr w:hSpace="0" w:wrap="auto" w:vAnchor="margin" w:hAnchor="text" w:yAlign="inline"/>
              <w:tabs>
                <w:tab w:val="clear" w:pos="1418"/>
                <w:tab w:val="left" w:pos="1276"/>
              </w:tabs>
              <w:rPr>
                <w:rFonts w:ascii="Arial" w:hAnsi="Arial" w:cs="Arial"/>
                <w:sz w:val="22"/>
              </w:rPr>
            </w:pPr>
            <w:r w:rsidRPr="00885DD4">
              <w:rPr>
                <w:sz w:val="22"/>
              </w:rPr>
              <w:t>Telephone</w:t>
            </w:r>
            <w:r w:rsidRPr="00885DD4">
              <w:rPr>
                <w:sz w:val="22"/>
              </w:rPr>
              <w:tab/>
              <w:t xml:space="preserve">(07) </w:t>
            </w:r>
            <w:r w:rsidRPr="00885DD4">
              <w:rPr>
                <w:rFonts w:ascii="Arial" w:hAnsi="Arial" w:cs="Arial"/>
                <w:sz w:val="22"/>
              </w:rPr>
              <w:t>5676 7602</w:t>
            </w:r>
          </w:p>
        </w:tc>
      </w:tr>
      <w:tr w:rsidR="00CB4785" w14:paraId="756B1A98" w14:textId="77777777" w:rsidTr="00D75EB6">
        <w:trPr>
          <w:trHeight w:val="2835"/>
        </w:trPr>
        <w:tc>
          <w:tcPr>
            <w:tcW w:w="5000" w:type="pct"/>
            <w:gridSpan w:val="2"/>
            <w:hideMark/>
          </w:tcPr>
          <w:p w14:paraId="009529A4" w14:textId="77777777" w:rsidR="00CB4785" w:rsidRPr="00F2796C" w:rsidRDefault="00052E37" w:rsidP="00D75EB6">
            <w:pPr>
              <w:pStyle w:val="BackCoverOfficeTitle"/>
              <w:framePr w:hSpace="0" w:wrap="auto" w:vAnchor="margin" w:hAnchor="text" w:yAlign="inline"/>
              <w:spacing w:before="1080"/>
              <w:jc w:val="center"/>
              <w:rPr>
                <w:b/>
                <w:bCs/>
                <w:szCs w:val="32"/>
              </w:rPr>
            </w:pPr>
            <w:hyperlink r:id="rId93" w:history="1">
              <w:r w:rsidR="00CB4785" w:rsidRPr="00F2796C">
                <w:rPr>
                  <w:rStyle w:val="Hyperlink"/>
                  <w:szCs w:val="32"/>
                </w:rPr>
                <w:t>watertech.com.au</w:t>
              </w:r>
            </w:hyperlink>
          </w:p>
        </w:tc>
      </w:tr>
    </w:tbl>
    <w:p w14:paraId="28E824E5" w14:textId="243023FB" w:rsidR="00CB4785" w:rsidRPr="00877900" w:rsidRDefault="005C33DE" w:rsidP="005C33DE">
      <w:pPr>
        <w:spacing w:before="80" w:after="80"/>
      </w:pPr>
      <w:r>
        <w:rPr>
          <w:noProof/>
        </w:rPr>
        <w:drawing>
          <wp:anchor distT="0" distB="0" distL="114300" distR="114300" simplePos="0" relativeHeight="251655168" behindDoc="1" locked="0" layoutInCell="1" allowOverlap="1" wp14:anchorId="65E10E67" wp14:editId="7EBCCCD3">
            <wp:simplePos x="0" y="0"/>
            <wp:positionH relativeFrom="column">
              <wp:posOffset>-506568</wp:posOffset>
            </wp:positionH>
            <wp:positionV relativeFrom="paragraph">
              <wp:posOffset>7450248</wp:posOffset>
            </wp:positionV>
            <wp:extent cx="7200258" cy="1812273"/>
            <wp:effectExtent l="0" t="0" r="1270" b="0"/>
            <wp:wrapNone/>
            <wp:docPr id="11090167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16707" name="Picture 1109016707"/>
                    <pic:cNvPicPr>
                      <a:picLocks noChangeAspect="1"/>
                    </pic:cNvPicPr>
                  </pic:nvPicPr>
                  <pic:blipFill rotWithShape="1">
                    <a:blip r:embed="rId69">
                      <a:extLst>
                        <a:ext uri="{28A0092B-C50C-407E-A947-70E740481C1C}">
                          <a14:useLocalDpi xmlns:a14="http://schemas.microsoft.com/office/drawing/2010/main" val="0"/>
                        </a:ext>
                      </a:extLst>
                    </a:blip>
                    <a:srcRect t="84282" r="6" b="-2087"/>
                    <a:stretch/>
                  </pic:blipFill>
                  <pic:spPr bwMode="auto">
                    <a:xfrm>
                      <a:off x="0" y="0"/>
                      <a:ext cx="7200258" cy="1812273"/>
                    </a:xfrm>
                    <a:prstGeom prst="rect">
                      <a:avLst/>
                    </a:prstGeom>
                    <a:ln>
                      <a:noFill/>
                    </a:ln>
                    <a:extLst>
                      <a:ext uri="{53640926-AAD7-44D8-BBD7-CCE9431645EC}">
                        <a14:shadowObscured xmlns:a14="http://schemas.microsoft.com/office/drawing/2010/main"/>
                      </a:ext>
                    </a:extLst>
                  </pic:spPr>
                </pic:pic>
              </a:graphicData>
            </a:graphic>
          </wp:anchor>
        </w:drawing>
      </w:r>
    </w:p>
    <w:sectPr w:rsidR="00CB4785" w:rsidRPr="00877900" w:rsidSect="008E557B">
      <w:headerReference w:type="even" r:id="rId94"/>
      <w:headerReference w:type="default" r:id="rId95"/>
      <w:footerReference w:type="even" r:id="rId96"/>
      <w:footerReference w:type="default" r:id="rId97"/>
      <w:headerReference w:type="first" r:id="rId98"/>
      <w:footerReference w:type="first" r:id="rId99"/>
      <w:pgSz w:w="11906" w:h="16838" w:code="9"/>
      <w:pgMar w:top="1985" w:right="1134" w:bottom="1701"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062B7C" w14:textId="77777777" w:rsidR="00F36A9A" w:rsidRDefault="00F36A9A" w:rsidP="00185154">
      <w:r>
        <w:separator/>
      </w:r>
    </w:p>
    <w:p w14:paraId="0DBEFFCE" w14:textId="77777777" w:rsidR="00F36A9A" w:rsidRDefault="00F36A9A"/>
  </w:endnote>
  <w:endnote w:type="continuationSeparator" w:id="0">
    <w:p w14:paraId="7DBE47A8" w14:textId="77777777" w:rsidR="00F36A9A" w:rsidRDefault="00F36A9A" w:rsidP="00185154">
      <w:r>
        <w:continuationSeparator/>
      </w:r>
    </w:p>
    <w:p w14:paraId="07CFF2FE" w14:textId="77777777" w:rsidR="00F36A9A" w:rsidRDefault="00F36A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5000" w:type="pct"/>
      <w:tblLook w:val="04A0" w:firstRow="1" w:lastRow="0" w:firstColumn="1" w:lastColumn="0" w:noHBand="0" w:noVBand="1"/>
    </w:tblPr>
    <w:tblGrid>
      <w:gridCol w:w="7942"/>
      <w:gridCol w:w="1696"/>
    </w:tblGrid>
    <w:tr w:rsidR="008174E8" w:rsidRPr="008174E8" w14:paraId="6B9C122D" w14:textId="77777777" w:rsidTr="008174E8">
      <w:tc>
        <w:tcPr>
          <w:tcW w:w="4120" w:type="pct"/>
        </w:tcPr>
        <w:p w14:paraId="283AB55E" w14:textId="06591CB4" w:rsidR="008174E8" w:rsidRPr="008174E8" w:rsidRDefault="00052E37" w:rsidP="008174E8">
          <w:pPr>
            <w:pStyle w:val="Footer"/>
          </w:pPr>
          <w:sdt>
            <w:sdtPr>
              <w:alias w:val="Client Name"/>
              <w:tag w:val="Client Name"/>
              <w:id w:val="-616303450"/>
              <w:placeholder>
                <w:docPart w:val="EFAB473F4417411F903812474B80BEFC"/>
              </w:placeholder>
              <w:dataBinding w:prefixMappings="xmlns:ns0='http://WaterTech.com.au' " w:xpath="/ns0:WaterTech[1]/ns0:ClientName[1]" w:storeItemID="{1214C560-496F-4E2F-AD2C-EBE50458B507}"/>
              <w:text/>
            </w:sdtPr>
            <w:sdtEndPr/>
            <w:sdtContent>
              <w:r w:rsidR="0063751E">
                <w:t>City of Albany</w:t>
              </w:r>
            </w:sdtContent>
          </w:sdt>
          <w:r w:rsidR="008174E8" w:rsidRPr="008174E8">
            <w:t xml:space="preserve"> | </w:t>
          </w:r>
          <w:sdt>
            <w:sdtPr>
              <w:alias w:val="Document Date"/>
              <w:tag w:val="Publish Date"/>
              <w:id w:val="-513766801"/>
              <w:placeholder>
                <w:docPart w:val="66A2FC8C61A34F2BA53220E4BBDCDB65"/>
              </w:placeholder>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880" w:type="pct"/>
        </w:tcPr>
        <w:p w14:paraId="6F4CAD2A" w14:textId="77777777" w:rsidR="008174E8" w:rsidRPr="008174E8" w:rsidRDefault="008174E8" w:rsidP="008174E8">
          <w:pPr>
            <w:pStyle w:val="Footer"/>
          </w:pPr>
        </w:p>
      </w:tc>
    </w:tr>
    <w:tr w:rsidR="008174E8" w:rsidRPr="008174E8" w14:paraId="4B84FA31" w14:textId="77777777" w:rsidTr="008174E8">
      <w:tc>
        <w:tcPr>
          <w:tcW w:w="4120" w:type="pct"/>
        </w:tcPr>
        <w:p w14:paraId="5D72342B" w14:textId="02B83815" w:rsidR="008174E8" w:rsidRPr="008174E8" w:rsidRDefault="00052E37" w:rsidP="008174E8">
          <w:pPr>
            <w:pStyle w:val="Footer"/>
          </w:pPr>
          <w:sdt>
            <w:sdtPr>
              <w:alias w:val="Project Name"/>
              <w:tag w:val="Project Name"/>
              <w:id w:val="766886683"/>
              <w:placeholder>
                <w:docPart w:val="FE1682BC9D9B4BCD89C6FB144133BA7B"/>
              </w:placeholder>
              <w:dataBinding w:prefixMappings="xmlns:ns0='http://WaterTech.com.au' " w:xpath="/ns0:WaterTech[1]/ns0:ProjectName[1]" w:storeItemID="{1214C560-496F-4E2F-AD2C-EBE50458B507}"/>
              <w:text/>
            </w:sdtPr>
            <w:sdtEndPr/>
            <w:sdtContent>
              <w:r w:rsidR="000631FB">
                <w:t>Summary Document</w:t>
              </w:r>
            </w:sdtContent>
          </w:sdt>
        </w:p>
      </w:tc>
      <w:tc>
        <w:tcPr>
          <w:tcW w:w="880" w:type="pct"/>
        </w:tcPr>
        <w:p w14:paraId="01483E26" w14:textId="77777777" w:rsidR="008174E8" w:rsidRPr="008174E8" w:rsidRDefault="008174E8" w:rsidP="008174E8">
          <w:pPr>
            <w:pStyle w:val="Footer"/>
          </w:pPr>
          <w:r w:rsidRPr="008174E8">
            <w:t xml:space="preserve">Page </w:t>
          </w:r>
          <w:r w:rsidRPr="008174E8">
            <w:fldChar w:fldCharType="begin"/>
          </w:r>
          <w:r w:rsidRPr="008174E8">
            <w:instrText xml:space="preserve"> PAGE   \* MERGEFORMAT </w:instrText>
          </w:r>
          <w:r w:rsidRPr="008174E8">
            <w:fldChar w:fldCharType="separate"/>
          </w:r>
          <w:r w:rsidRPr="008174E8">
            <w:t>11</w:t>
          </w:r>
          <w:r w:rsidRPr="008174E8">
            <w:fldChar w:fldCharType="end"/>
          </w:r>
        </w:p>
      </w:tc>
    </w:tr>
  </w:tbl>
  <w:p w14:paraId="28901A53" w14:textId="78C1527B" w:rsidR="008174E8" w:rsidRDefault="008174E8">
    <w:pPr>
      <w:pStyle w:val="Footer"/>
    </w:pPr>
    <w:r w:rsidRPr="000A7029">
      <w:rPr>
        <w:noProof/>
        <w:sz w:val="2"/>
        <w:szCs w:val="2"/>
        <w:lang w:eastAsia="en-AU"/>
      </w:rPr>
      <mc:AlternateContent>
        <mc:Choice Requires="wps">
          <w:drawing>
            <wp:anchor distT="0" distB="0" distL="114300" distR="114300" simplePos="0" relativeHeight="251669504" behindDoc="0" locked="0" layoutInCell="1" allowOverlap="1" wp14:anchorId="2B8627E1" wp14:editId="53657D7A">
              <wp:simplePos x="0" y="0"/>
              <wp:positionH relativeFrom="margin">
                <wp:align>left</wp:align>
              </wp:positionH>
              <wp:positionV relativeFrom="page">
                <wp:posOffset>10229850</wp:posOffset>
              </wp:positionV>
              <wp:extent cx="6120130" cy="46355"/>
              <wp:effectExtent l="0" t="0" r="0" b="0"/>
              <wp:wrapNone/>
              <wp:docPr id="227396888" name="Rectangle 2273968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130" cy="46355"/>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xmlns:w16du="http://schemas.microsoft.com/office/word/2023/wordml/word16du">
          <w:pict>
            <v:rect w14:anchorId="3B92ABA2" id="Rectangle 227396888" o:spid="_x0000_s1026" alt="&quot;&quot;" style="position:absolute;margin-left:0;margin-top:805.5pt;width:481.9pt;height:3.65pt;z-index:251690496;visibility:visible;mso-wrap-style:square;mso-width-percent:1000;mso-height-percent:0;mso-wrap-distance-left:9pt;mso-wrap-distance-top:0;mso-wrap-distance-right:9pt;mso-wrap-distance-bottom:0;mso-position-horizontal:left;mso-position-horizontal-relative:margin;mso-position-vertical:absolute;mso-position-vertical-relative:page;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" fillcolor="#6eb444 [3206]" stroked="f" strokeweight=".5pt">
              <v:fill color2="#0278ad [3204]" angle="225" colors="0 #6eb444;13763f #6eb444;26214f #fcb717;40632f #fcb717" focus="100%" type="gradient">
                <o:fill v:ext="view" type="gradientUnscaled"/>
              </v:fill>
              <v:textbox style="mso-fit-shape-to-text:t"/>
              <w10:wrap anchorx="margin" anchory="page"/>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FEB1E" w14:textId="77777777" w:rsidR="00CF25FD" w:rsidRDefault="00CF25FD">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D961D" w14:textId="77777777" w:rsidR="004A034B" w:rsidRDefault="004A034B">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5000" w:type="pct"/>
      <w:tblLook w:val="04A0" w:firstRow="1" w:lastRow="0" w:firstColumn="1" w:lastColumn="0" w:noHBand="0" w:noVBand="1"/>
    </w:tblPr>
    <w:tblGrid>
      <w:gridCol w:w="8088"/>
      <w:gridCol w:w="1550"/>
    </w:tblGrid>
    <w:tr w:rsidR="004A034B" w:rsidRPr="008949F5" w14:paraId="73A2B565" w14:textId="77777777" w:rsidTr="00EA52A0">
      <w:tc>
        <w:tcPr>
          <w:tcW w:w="8088" w:type="dxa"/>
        </w:tcPr>
        <w:p w14:paraId="7EE97B50" w14:textId="7189C579" w:rsidR="004A034B" w:rsidRPr="008949F5" w:rsidRDefault="00052E37" w:rsidP="008949F5">
          <w:pPr>
            <w:pStyle w:val="Footer"/>
          </w:pPr>
          <w:sdt>
            <w:sdtPr>
              <w:alias w:val="Client Name"/>
              <w:tag w:val="Client Name"/>
              <w:id w:val="258718862"/>
              <w:dataBinding w:prefixMappings="xmlns:ns0='http://WaterTech.com.au' " w:xpath="/ns0:WaterTech[1]/ns0:ClientName[1]" w:storeItemID="{1214C560-496F-4E2F-AD2C-EBE50458B507}"/>
              <w:text/>
            </w:sdtPr>
            <w:sdtEndPr/>
            <w:sdtContent>
              <w:r w:rsidR="004A034B">
                <w:t>City of Albany</w:t>
              </w:r>
            </w:sdtContent>
          </w:sdt>
          <w:r w:rsidR="004A034B" w:rsidRPr="008949F5">
            <w:t xml:space="preserve"> | </w:t>
          </w:r>
          <w:sdt>
            <w:sdtPr>
              <w:alias w:val="Document Date"/>
              <w:tag w:val="Publish Date"/>
              <w:id w:val="-340313574"/>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1550" w:type="dxa"/>
        </w:tcPr>
        <w:p w14:paraId="5E2CB182" w14:textId="77777777" w:rsidR="004A034B" w:rsidRPr="008949F5" w:rsidRDefault="004A034B" w:rsidP="008949F5">
          <w:pPr>
            <w:pStyle w:val="Footer"/>
          </w:pPr>
        </w:p>
      </w:tc>
    </w:tr>
    <w:tr w:rsidR="004A034B" w:rsidRPr="000A7029" w14:paraId="59E3823F" w14:textId="77777777" w:rsidTr="00EA52A0">
      <w:tc>
        <w:tcPr>
          <w:tcW w:w="8088" w:type="dxa"/>
        </w:tcPr>
        <w:p w14:paraId="4415D67B" w14:textId="29BEE093" w:rsidR="004A034B" w:rsidRPr="000A7029" w:rsidRDefault="00052E37" w:rsidP="00012298">
          <w:pPr>
            <w:pStyle w:val="Footer"/>
          </w:pPr>
          <w:sdt>
            <w:sdtPr>
              <w:alias w:val="Project Name"/>
              <w:tag w:val="Project Name"/>
              <w:id w:val="949349855"/>
              <w:dataBinding w:prefixMappings="xmlns:ns0='http://WaterTech.com.au' " w:xpath="/ns0:WaterTech[1]/ns0:ProjectName[1]" w:storeItemID="{1214C560-496F-4E2F-AD2C-EBE50458B507}"/>
              <w:text/>
            </w:sdtPr>
            <w:sdtEndPr/>
            <w:sdtContent>
              <w:r w:rsidR="000631FB">
                <w:t>Summary Document</w:t>
              </w:r>
            </w:sdtContent>
          </w:sdt>
        </w:p>
      </w:tc>
      <w:tc>
        <w:tcPr>
          <w:tcW w:w="1550" w:type="dxa"/>
        </w:tcPr>
        <w:p w14:paraId="14D21104" w14:textId="77777777" w:rsidR="004A034B" w:rsidRPr="000A7029" w:rsidRDefault="004A034B"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080882C8" w14:textId="77777777" w:rsidR="004A034B" w:rsidRPr="000A7029" w:rsidRDefault="004A034B"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68480" behindDoc="0" locked="0" layoutInCell="1" allowOverlap="1" wp14:anchorId="498DE89B" wp14:editId="642153C1">
              <wp:simplePos x="0" y="0"/>
              <wp:positionH relativeFrom="page">
                <wp:posOffset>723900</wp:posOffset>
              </wp:positionH>
              <wp:positionV relativeFrom="paragraph">
                <wp:posOffset>36195</wp:posOffset>
              </wp:positionV>
              <wp:extent cx="6120130" cy="46800"/>
              <wp:effectExtent l="0" t="0" r="0" b="0"/>
              <wp:wrapNone/>
              <wp:docPr id="978097315" name="Rectangle 978097315"/>
              <wp:cNvGraphicFramePr/>
              <a:graphic xmlns:a="http://schemas.openxmlformats.org/drawingml/2006/main">
                <a:graphicData uri="http://schemas.microsoft.com/office/word/2010/wordprocessingShape">
                  <wps:wsp>
                    <wps:cNvSpPr/>
                    <wps:spPr>
                      <a:xfrm>
                        <a:off x="0" y="0"/>
                        <a:ext cx="6120130" cy="46800"/>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xmlns:w16du="http://schemas.microsoft.com/office/word/2023/wordml/word16du">
          <w:pict>
            <v:rect w14:anchorId="720C3AF0" id="Rectangle 978097315" o:spid="_x0000_s1026" style="position:absolute;margin-left:57pt;margin-top:2.85pt;width:481.9pt;height:3.7pt;z-index:251689472;visibility:visible;mso-wrap-style:square;mso-width-percent:1000;mso-height-percent:0;mso-wrap-distance-left:9pt;mso-wrap-distance-top:0;mso-wrap-distance-right:9pt;mso-wrap-distance-bottom:0;mso-position-horizontal:absolute;mso-position-horizontal-relative:page;mso-position-vertical:absolute;mso-position-vertical-relative:text;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" fillcolor="#6eb444 [3206]" stroked="f" strokeweight=".5pt">
              <v:fill color2="#0278ad [3204]" angle="225" colors="0 #6eb444;13763f #6eb444;26214f #fcb717;40632f #fcb717" focus="100%" type="gradient">
                <o:fill v:ext="view" type="gradientUnscaled"/>
              </v:fill>
              <v:textbox style="mso-fit-shape-to-text:t"/>
              <w10:wrap anchorx="page"/>
            </v:rec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0A1B6" w14:textId="77777777" w:rsidR="004A034B" w:rsidRDefault="004A034B">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3016A" w14:textId="77777777" w:rsidR="00CD4C64" w:rsidRDefault="00CD4C64">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0" w:type="auto"/>
      <w:tblLayout w:type="fixed"/>
      <w:tblLook w:val="04A0" w:firstRow="1" w:lastRow="0" w:firstColumn="1" w:lastColumn="0" w:noHBand="0" w:noVBand="1"/>
    </w:tblPr>
    <w:tblGrid>
      <w:gridCol w:w="12227"/>
      <w:gridCol w:w="2343"/>
    </w:tblGrid>
    <w:tr w:rsidR="00CD4C64" w:rsidRPr="008949F5" w14:paraId="7A08038E" w14:textId="77777777" w:rsidTr="00FA0D5D">
      <w:tc>
        <w:tcPr>
          <w:tcW w:w="12227" w:type="dxa"/>
        </w:tcPr>
        <w:p w14:paraId="008235F9" w14:textId="48328B3A" w:rsidR="00CD4C64" w:rsidRPr="008949F5" w:rsidRDefault="00052E37" w:rsidP="008949F5">
          <w:pPr>
            <w:pStyle w:val="Footer"/>
          </w:pPr>
          <w:sdt>
            <w:sdtPr>
              <w:alias w:val="Client Name"/>
              <w:tag w:val="Client Name"/>
              <w:id w:val="-1792819919"/>
              <w:dataBinding w:prefixMappings="xmlns:ns0='http://WaterTech.com.au' " w:xpath="/ns0:WaterTech[1]/ns0:ClientName[1]" w:storeItemID="{1214C560-496F-4E2F-AD2C-EBE50458B507}"/>
              <w:text/>
            </w:sdtPr>
            <w:sdtEndPr/>
            <w:sdtContent>
              <w:r w:rsidR="0063751E">
                <w:t>City of Albany</w:t>
              </w:r>
            </w:sdtContent>
          </w:sdt>
          <w:r w:rsidR="00CD4C64" w:rsidRPr="008949F5">
            <w:t xml:space="preserve"> | </w:t>
          </w:r>
          <w:sdt>
            <w:sdtPr>
              <w:alias w:val="Document Date"/>
              <w:tag w:val="Publish Date"/>
              <w:id w:val="2006477186"/>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2343" w:type="dxa"/>
        </w:tcPr>
        <w:p w14:paraId="1E5D3D5E" w14:textId="77777777" w:rsidR="00CD4C64" w:rsidRPr="008949F5" w:rsidRDefault="00CD4C64" w:rsidP="008949F5">
          <w:pPr>
            <w:pStyle w:val="Footer"/>
          </w:pPr>
        </w:p>
      </w:tc>
    </w:tr>
    <w:tr w:rsidR="00CD4C64" w:rsidRPr="000A7029" w14:paraId="705AB4B3" w14:textId="77777777" w:rsidTr="00FA0D5D">
      <w:tc>
        <w:tcPr>
          <w:tcW w:w="12227" w:type="dxa"/>
        </w:tcPr>
        <w:p w14:paraId="207D6413" w14:textId="6FFF90A1" w:rsidR="00CD4C64" w:rsidRPr="000A7029" w:rsidRDefault="00052E37" w:rsidP="00012298">
          <w:pPr>
            <w:pStyle w:val="Footer"/>
          </w:pPr>
          <w:sdt>
            <w:sdtPr>
              <w:alias w:val="Project Name"/>
              <w:tag w:val="Project Name"/>
              <w:id w:val="-20707248"/>
              <w:dataBinding w:prefixMappings="xmlns:ns0='http://WaterTech.com.au' " w:xpath="/ns0:WaterTech[1]/ns0:ProjectName[1]" w:storeItemID="{1214C560-496F-4E2F-AD2C-EBE50458B507}"/>
              <w:text/>
            </w:sdtPr>
            <w:sdtEndPr/>
            <w:sdtContent>
              <w:r w:rsidR="000631FB">
                <w:t>Summary Document</w:t>
              </w:r>
            </w:sdtContent>
          </w:sdt>
        </w:p>
      </w:tc>
      <w:tc>
        <w:tcPr>
          <w:tcW w:w="2343" w:type="dxa"/>
        </w:tcPr>
        <w:p w14:paraId="0574E3FB" w14:textId="77777777" w:rsidR="00CD4C64" w:rsidRPr="000A7029" w:rsidRDefault="00CD4C64"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62D330C9" w14:textId="77777777" w:rsidR="00CD4C64" w:rsidRPr="000A7029" w:rsidRDefault="00CD4C64"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42880" behindDoc="0" locked="0" layoutInCell="1" allowOverlap="1" wp14:anchorId="535B98B9" wp14:editId="7BFEDB61">
              <wp:simplePos x="0" y="0"/>
              <wp:positionH relativeFrom="page">
                <wp:posOffset>723900</wp:posOffset>
              </wp:positionH>
              <wp:positionV relativeFrom="paragraph">
                <wp:posOffset>36195</wp:posOffset>
              </wp:positionV>
              <wp:extent cx="6120130" cy="46800"/>
              <wp:effectExtent l="0" t="0" r="0" b="0"/>
              <wp:wrapNone/>
              <wp:docPr id="474" name="Rectangle 474"/>
              <wp:cNvGraphicFramePr/>
              <a:graphic xmlns:a="http://schemas.openxmlformats.org/drawingml/2006/main">
                <a:graphicData uri="http://schemas.microsoft.com/office/word/2010/wordprocessingShape">
                  <wps:wsp>
                    <wps:cNvSpPr/>
                    <wps:spPr>
                      <a:xfrm>
                        <a:off x="0" y="0"/>
                        <a:ext cx="6120130" cy="46800"/>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xmlns:w16du="http://schemas.microsoft.com/office/word/2023/wordml/word16du">
          <w:pict>
            <v:rect w14:anchorId="4C861041" id="Rectangle 474" o:spid="_x0000_s1026" style="position:absolute;margin-left:57pt;margin-top:2.85pt;width:481.9pt;height:3.7pt;z-index:251628032;visibility:visible;mso-wrap-style:square;mso-width-percent:1000;mso-height-percent:0;mso-wrap-distance-left:9pt;mso-wrap-distance-top:0;mso-wrap-distance-right:9pt;mso-wrap-distance-bottom:0;mso-position-horizontal:absolute;mso-position-horizontal-relative:page;mso-position-vertical:absolute;mso-position-vertical-relative:text;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" fillcolor="#6eb444 [3206]" stroked="f" strokeweight=".5pt">
              <v:fill color2="#0278ad [3204]" angle="225" colors="0 #6eb444;13763f #6eb444;26214f #fcb717;40632f #fcb717" focus="100%" type="gradient">
                <o:fill v:ext="view" type="gradientUnscaled"/>
              </v:fill>
              <v:textbox style="mso-fit-shape-to-text:t"/>
              <w10:wrap anchorx="page"/>
            </v:rect>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11956" w14:textId="77777777" w:rsidR="00CD4C64" w:rsidRDefault="00CD4C64">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5000" w:type="pct"/>
      <w:tblLook w:val="04A0" w:firstRow="1" w:lastRow="0" w:firstColumn="1" w:lastColumn="0" w:noHBand="0" w:noVBand="1"/>
    </w:tblPr>
    <w:tblGrid>
      <w:gridCol w:w="6937"/>
      <w:gridCol w:w="2701"/>
    </w:tblGrid>
    <w:tr w:rsidR="00C10283" w:rsidRPr="008949F5" w14:paraId="03CD703E" w14:textId="77777777" w:rsidTr="0093486B">
      <w:tc>
        <w:tcPr>
          <w:tcW w:w="3599" w:type="pct"/>
        </w:tcPr>
        <w:p w14:paraId="50B8BE33" w14:textId="3030CBD8" w:rsidR="00012298" w:rsidRPr="008949F5" w:rsidRDefault="00052E37" w:rsidP="008949F5">
          <w:pPr>
            <w:pStyle w:val="Footer"/>
          </w:pPr>
          <w:sdt>
            <w:sdtPr>
              <w:alias w:val="Client Name"/>
              <w:tag w:val="Client Name"/>
              <w:id w:val="1187949850"/>
              <w:dataBinding w:prefixMappings="xmlns:ns0='http://WaterTech.com.au' " w:xpath="/ns0:WaterTech[1]/ns0:ClientName[1]" w:storeItemID="{1214C560-496F-4E2F-AD2C-EBE50458B507}"/>
              <w:text/>
            </w:sdtPr>
            <w:sdtEndPr/>
            <w:sdtContent>
              <w:r w:rsidR="0063751E">
                <w:t>City of Albany</w:t>
              </w:r>
            </w:sdtContent>
          </w:sdt>
          <w:r w:rsidR="00012298" w:rsidRPr="008949F5">
            <w:t xml:space="preserve"> | </w:t>
          </w:r>
          <w:sdt>
            <w:sdtPr>
              <w:alias w:val="Document Date"/>
              <w:tag w:val="Publish Date"/>
              <w:id w:val="16969898"/>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1401" w:type="pct"/>
        </w:tcPr>
        <w:p w14:paraId="5A6585DE" w14:textId="77777777" w:rsidR="00012298" w:rsidRPr="008949F5" w:rsidRDefault="00012298" w:rsidP="008949F5">
          <w:pPr>
            <w:pStyle w:val="Footer"/>
          </w:pPr>
        </w:p>
      </w:tc>
    </w:tr>
    <w:tr w:rsidR="00C10283" w:rsidRPr="000A7029" w14:paraId="494C3325" w14:textId="77777777" w:rsidTr="0093486B">
      <w:tc>
        <w:tcPr>
          <w:tcW w:w="3599" w:type="pct"/>
        </w:tcPr>
        <w:p w14:paraId="7B579EC9" w14:textId="02EFB97A" w:rsidR="00012298" w:rsidRPr="000A7029" w:rsidRDefault="00052E37" w:rsidP="00012298">
          <w:pPr>
            <w:pStyle w:val="Footer"/>
          </w:pPr>
          <w:sdt>
            <w:sdtPr>
              <w:alias w:val="Project Name"/>
              <w:tag w:val="Project Name"/>
              <w:id w:val="1553577598"/>
              <w:dataBinding w:prefixMappings="xmlns:ns0='http://WaterTech.com.au' " w:xpath="/ns0:WaterTech[1]/ns0:ProjectName[1]" w:storeItemID="{1214C560-496F-4E2F-AD2C-EBE50458B507}"/>
              <w:text/>
            </w:sdtPr>
            <w:sdtEndPr/>
            <w:sdtContent>
              <w:r w:rsidR="000631FB">
                <w:t>Summary Document</w:t>
              </w:r>
            </w:sdtContent>
          </w:sdt>
        </w:p>
      </w:tc>
      <w:tc>
        <w:tcPr>
          <w:tcW w:w="1401" w:type="pct"/>
        </w:tcPr>
        <w:p w14:paraId="6B7381EC" w14:textId="77777777" w:rsidR="00012298" w:rsidRPr="000A7029" w:rsidRDefault="00012298" w:rsidP="00012298">
          <w:pPr>
            <w:pStyle w:val="Footer"/>
            <w:jc w:val="right"/>
          </w:pPr>
          <w:r>
            <w:t xml:space="preserve">Page </w:t>
          </w:r>
          <w:r>
            <w:fldChar w:fldCharType="begin"/>
          </w:r>
          <w:r>
            <w:instrText xml:space="preserve"> PAGE   \* MERGEFORMAT </w:instrText>
          </w:r>
          <w:r>
            <w:fldChar w:fldCharType="separate"/>
          </w:r>
          <w:r w:rsidR="00FC5545">
            <w:rPr>
              <w:noProof/>
            </w:rPr>
            <w:t>11</w:t>
          </w:r>
          <w:r>
            <w:rPr>
              <w:noProof/>
            </w:rPr>
            <w:fldChar w:fldCharType="end"/>
          </w:r>
        </w:p>
      </w:tc>
    </w:tr>
  </w:tbl>
  <w:p w14:paraId="0B52E863" w14:textId="77777777" w:rsidR="00012298" w:rsidRPr="000A7029" w:rsidRDefault="00012298"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38784" behindDoc="1" locked="0" layoutInCell="1" allowOverlap="1" wp14:anchorId="7C9F54FF" wp14:editId="6275D0E9">
              <wp:simplePos x="0" y="0"/>
              <wp:positionH relativeFrom="page">
                <wp:posOffset>722630</wp:posOffset>
              </wp:positionH>
              <wp:positionV relativeFrom="paragraph">
                <wp:posOffset>38100</wp:posOffset>
              </wp:positionV>
              <wp:extent cx="6120130" cy="46355"/>
              <wp:effectExtent l="0" t="0" r="3175" b="0"/>
              <wp:wrapTight wrapText="bothSides">
                <wp:wrapPolygon edited="0">
                  <wp:start x="0" y="0"/>
                  <wp:lineTo x="0" y="8877"/>
                  <wp:lineTo x="21573" y="8877"/>
                  <wp:lineTo x="21573" y="0"/>
                  <wp:lineTo x="0" y="0"/>
                </wp:wrapPolygon>
              </wp:wrapTight>
              <wp:docPr id="38" name="Rectangle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130" cy="46355"/>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xmlns:w16du="http://schemas.microsoft.com/office/word/2023/wordml/word16du">
          <w:pict>
            <v:rect w14:anchorId="55366392" id="Rectangle 38" o:spid="_x0000_s1026" alt="&quot;&quot;" style="position:absolute;margin-left:56.9pt;margin-top:3pt;width:481.9pt;height:3.65pt;z-index:-251700736;visibility:visible;mso-wrap-style:square;mso-width-percent:1000;mso-height-percent:0;mso-wrap-distance-left:9pt;mso-wrap-distance-top:0;mso-wrap-distance-right:9pt;mso-wrap-distance-bottom:0;mso-position-horizontal:absolute;mso-position-horizontal-relative:page;mso-position-vertical:absolute;mso-position-vertical-relative:text;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" fillcolor="#6eb444 [3206]" stroked="f" strokeweight=".5pt">
              <v:fill color2="#0278ad [3204]" angle="225" colors="0 #6eb444;13763f #6eb444;26214f #fcb717;40632f #fcb717" focus="100%" type="gradient">
                <o:fill v:ext="view" type="gradientUnscaled"/>
              </v:fill>
              <v:textbox style="mso-fit-shape-to-text:t"/>
              <w10:wrap type="tight" anchorx="page"/>
            </v:rect>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0" w:type="auto"/>
      <w:tblLayout w:type="fixed"/>
      <w:tblLook w:val="04A0" w:firstRow="1" w:lastRow="0" w:firstColumn="1" w:lastColumn="0" w:noHBand="0" w:noVBand="1"/>
    </w:tblPr>
    <w:tblGrid>
      <w:gridCol w:w="15520"/>
      <w:gridCol w:w="4605"/>
    </w:tblGrid>
    <w:tr w:rsidR="00C10283" w:rsidRPr="008949F5" w14:paraId="4F5839ED" w14:textId="77777777" w:rsidTr="00652A9A">
      <w:tc>
        <w:tcPr>
          <w:tcW w:w="15520" w:type="dxa"/>
        </w:tcPr>
        <w:p w14:paraId="266BD37C" w14:textId="0B292F23" w:rsidR="00C10283" w:rsidRPr="008949F5" w:rsidRDefault="00052E37" w:rsidP="008949F5">
          <w:pPr>
            <w:pStyle w:val="Footer"/>
          </w:pPr>
          <w:sdt>
            <w:sdtPr>
              <w:alias w:val="Client Name"/>
              <w:tag w:val="Client Name"/>
              <w:id w:val="1346434279"/>
              <w:dataBinding w:prefixMappings="xmlns:ns0='http://WaterTech.com.au' " w:xpath="/ns0:WaterTech[1]/ns0:ClientName[1]" w:storeItemID="{1214C560-496F-4E2F-AD2C-EBE50458B507}"/>
              <w:text/>
            </w:sdtPr>
            <w:sdtEndPr/>
            <w:sdtContent>
              <w:r w:rsidR="00C10283">
                <w:t>City of Albany</w:t>
              </w:r>
            </w:sdtContent>
          </w:sdt>
          <w:r w:rsidR="00C10283" w:rsidRPr="008949F5">
            <w:t xml:space="preserve"> | </w:t>
          </w:r>
          <w:sdt>
            <w:sdtPr>
              <w:alias w:val="Document Date"/>
              <w:tag w:val="Publish Date"/>
              <w:id w:val="-1249178595"/>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4605" w:type="dxa"/>
        </w:tcPr>
        <w:p w14:paraId="119D01BC" w14:textId="77777777" w:rsidR="00C10283" w:rsidRPr="008949F5" w:rsidRDefault="00C10283" w:rsidP="008949F5">
          <w:pPr>
            <w:pStyle w:val="Footer"/>
          </w:pPr>
        </w:p>
      </w:tc>
    </w:tr>
    <w:tr w:rsidR="00C10283" w:rsidRPr="000A7029" w14:paraId="343F33C3" w14:textId="77777777" w:rsidTr="00652A9A">
      <w:tc>
        <w:tcPr>
          <w:tcW w:w="15520" w:type="dxa"/>
        </w:tcPr>
        <w:p w14:paraId="06B30E85" w14:textId="3A244160" w:rsidR="00C10283" w:rsidRPr="000A7029" w:rsidRDefault="00052E37" w:rsidP="00012298">
          <w:pPr>
            <w:pStyle w:val="Footer"/>
          </w:pPr>
          <w:sdt>
            <w:sdtPr>
              <w:alias w:val="Project Name"/>
              <w:tag w:val="Project Name"/>
              <w:id w:val="-102654868"/>
              <w:dataBinding w:prefixMappings="xmlns:ns0='http://WaterTech.com.au' " w:xpath="/ns0:WaterTech[1]/ns0:ProjectName[1]" w:storeItemID="{1214C560-496F-4E2F-AD2C-EBE50458B507}"/>
              <w:text/>
            </w:sdtPr>
            <w:sdtEndPr/>
            <w:sdtContent>
              <w:r w:rsidR="000631FB">
                <w:t>Summary Document</w:t>
              </w:r>
            </w:sdtContent>
          </w:sdt>
        </w:p>
      </w:tc>
      <w:tc>
        <w:tcPr>
          <w:tcW w:w="4605" w:type="dxa"/>
        </w:tcPr>
        <w:p w14:paraId="1E40BA7E" w14:textId="77777777" w:rsidR="00C10283" w:rsidRPr="000A7029" w:rsidRDefault="00C10283"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77B19E52" w14:textId="77777777" w:rsidR="00C10283" w:rsidRPr="000A7029" w:rsidRDefault="00C10283"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49024" behindDoc="1" locked="0" layoutInCell="1" allowOverlap="1" wp14:anchorId="7413B1DD" wp14:editId="17D6614C">
              <wp:simplePos x="0" y="0"/>
              <wp:positionH relativeFrom="margin">
                <wp:align>right</wp:align>
              </wp:positionH>
              <wp:positionV relativeFrom="paragraph">
                <wp:posOffset>55880</wp:posOffset>
              </wp:positionV>
              <wp:extent cx="12764770" cy="45085"/>
              <wp:effectExtent l="0" t="0" r="0" b="0"/>
              <wp:wrapTight wrapText="bothSides">
                <wp:wrapPolygon edited="0">
                  <wp:start x="0" y="0"/>
                  <wp:lineTo x="0" y="9127"/>
                  <wp:lineTo x="21566" y="9127"/>
                  <wp:lineTo x="21566" y="0"/>
                  <wp:lineTo x="0" y="0"/>
                </wp:wrapPolygon>
              </wp:wrapTight>
              <wp:docPr id="443892879" name="Rectangle 4438928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764770" cy="45085"/>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682B4B5" id="Rectangle 443892879" o:spid="_x0000_s1026" alt="&quot;&quot;" style="position:absolute;margin-left:953.9pt;margin-top:4.4pt;width:1005.1pt;height:3.55pt;z-index:-251670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" fillcolor="#6eb444 [3206]" stroked="f" strokeweight=".5pt">
              <v:fill color2="#0278ad [3204]" angle="225" colors="0 #6eb444;13763f #6eb444;26214f #fcb717;40632f #fcb717" focus="100%" type="gradient">
                <o:fill v:ext="view" type="gradientUnscaled"/>
              </v:fill>
              <v:textbox style="mso-fit-shape-to-text:t"/>
              <w10:wrap type="tight" anchorx="margin"/>
            </v:rect>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5000" w:type="pct"/>
      <w:tblLook w:val="04A0" w:firstRow="1" w:lastRow="0" w:firstColumn="1" w:lastColumn="0" w:noHBand="0" w:noVBand="1"/>
    </w:tblPr>
    <w:tblGrid>
      <w:gridCol w:w="7433"/>
      <w:gridCol w:w="2205"/>
    </w:tblGrid>
    <w:tr w:rsidR="00C10283" w:rsidRPr="008949F5" w14:paraId="0C0A4D12" w14:textId="77777777" w:rsidTr="00C10283">
      <w:tc>
        <w:tcPr>
          <w:tcW w:w="3856" w:type="pct"/>
        </w:tcPr>
        <w:p w14:paraId="38E35D93" w14:textId="6C51673B" w:rsidR="00C10283" w:rsidRPr="008949F5" w:rsidRDefault="00052E37" w:rsidP="008949F5">
          <w:pPr>
            <w:pStyle w:val="Footer"/>
          </w:pPr>
          <w:sdt>
            <w:sdtPr>
              <w:alias w:val="Client Name"/>
              <w:tag w:val="Client Name"/>
              <w:id w:val="-1296820582"/>
              <w:dataBinding w:prefixMappings="xmlns:ns0='http://WaterTech.com.au' " w:xpath="/ns0:WaterTech[1]/ns0:ClientName[1]" w:storeItemID="{1214C560-496F-4E2F-AD2C-EBE50458B507}"/>
              <w:text/>
            </w:sdtPr>
            <w:sdtEndPr/>
            <w:sdtContent>
              <w:r w:rsidR="00C10283">
                <w:t>City of Albany</w:t>
              </w:r>
            </w:sdtContent>
          </w:sdt>
          <w:r w:rsidR="00C10283" w:rsidRPr="008949F5">
            <w:t xml:space="preserve"> | </w:t>
          </w:r>
          <w:sdt>
            <w:sdtPr>
              <w:alias w:val="Document Date"/>
              <w:tag w:val="Publish Date"/>
              <w:id w:val="1641534768"/>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1144" w:type="pct"/>
        </w:tcPr>
        <w:p w14:paraId="0589A1A1" w14:textId="77777777" w:rsidR="00C10283" w:rsidRPr="008949F5" w:rsidRDefault="00C10283" w:rsidP="008949F5">
          <w:pPr>
            <w:pStyle w:val="Footer"/>
          </w:pPr>
        </w:p>
      </w:tc>
    </w:tr>
    <w:tr w:rsidR="00C10283" w:rsidRPr="000A7029" w14:paraId="45B67DE2" w14:textId="77777777" w:rsidTr="00C10283">
      <w:tc>
        <w:tcPr>
          <w:tcW w:w="3856" w:type="pct"/>
        </w:tcPr>
        <w:p w14:paraId="023B6C22" w14:textId="69E063F3" w:rsidR="00C10283" w:rsidRPr="000A7029" w:rsidRDefault="00052E37" w:rsidP="00012298">
          <w:pPr>
            <w:pStyle w:val="Footer"/>
          </w:pPr>
          <w:sdt>
            <w:sdtPr>
              <w:alias w:val="Project Name"/>
              <w:tag w:val="Project Name"/>
              <w:id w:val="-68268405"/>
              <w:dataBinding w:prefixMappings="xmlns:ns0='http://WaterTech.com.au' " w:xpath="/ns0:WaterTech[1]/ns0:ProjectName[1]" w:storeItemID="{1214C560-496F-4E2F-AD2C-EBE50458B507}"/>
              <w:text/>
            </w:sdtPr>
            <w:sdtEndPr/>
            <w:sdtContent>
              <w:r w:rsidR="000631FB">
                <w:t>Summary Document</w:t>
              </w:r>
            </w:sdtContent>
          </w:sdt>
        </w:p>
      </w:tc>
      <w:tc>
        <w:tcPr>
          <w:tcW w:w="1144" w:type="pct"/>
        </w:tcPr>
        <w:p w14:paraId="3CAFF77E" w14:textId="77777777" w:rsidR="00C10283" w:rsidRPr="000A7029" w:rsidRDefault="00C10283"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0508212B" w14:textId="5602A19E" w:rsidR="00C10283" w:rsidRPr="000A7029" w:rsidRDefault="00C10283"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50048" behindDoc="1" locked="0" layoutInCell="1" allowOverlap="1" wp14:anchorId="23ED2ED6" wp14:editId="49234815">
              <wp:simplePos x="0" y="0"/>
              <wp:positionH relativeFrom="margin">
                <wp:align>right</wp:align>
              </wp:positionH>
              <wp:positionV relativeFrom="paragraph">
                <wp:posOffset>59542</wp:posOffset>
              </wp:positionV>
              <wp:extent cx="6087745" cy="45085"/>
              <wp:effectExtent l="0" t="0" r="8255" b="0"/>
              <wp:wrapTight wrapText="bothSides">
                <wp:wrapPolygon edited="0">
                  <wp:start x="0" y="0"/>
                  <wp:lineTo x="0" y="9127"/>
                  <wp:lineTo x="21562" y="9127"/>
                  <wp:lineTo x="21562" y="0"/>
                  <wp:lineTo x="0" y="0"/>
                </wp:wrapPolygon>
              </wp:wrapTight>
              <wp:docPr id="1204935200" name="Rectangle 1204935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6087745" cy="45085"/>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AF94403" id="Rectangle 1204935200" o:spid="_x0000_s1026" alt="&quot;&quot;" style="position:absolute;margin-left:428.15pt;margin-top:4.7pt;width:479.35pt;height:3.55pt;flip:y;z-index:-251666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" fillcolor="#6eb444 [3206]" stroked="f" strokeweight=".5pt">
              <v:fill color2="#0278ad [3204]" angle="225" colors="0 #6eb444;13763f #6eb444;26214f #fcb717;40632f #fcb717" focus="100%" type="gradient">
                <o:fill v:ext="view" type="gradientUnscaled"/>
              </v:fill>
              <w10:wrap type="tight"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66CFF" w14:textId="77777777" w:rsidR="006B33D7" w:rsidRDefault="006B33D7">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0" w:type="auto"/>
      <w:tblLayout w:type="fixed"/>
      <w:tblLook w:val="04A0" w:firstRow="1" w:lastRow="0" w:firstColumn="1" w:lastColumn="0" w:noHBand="0" w:noVBand="1"/>
    </w:tblPr>
    <w:tblGrid>
      <w:gridCol w:w="16148"/>
      <w:gridCol w:w="3977"/>
    </w:tblGrid>
    <w:tr w:rsidR="0095560F" w:rsidRPr="008949F5" w14:paraId="109ED3B9" w14:textId="77777777" w:rsidTr="00456CAC">
      <w:tc>
        <w:tcPr>
          <w:tcW w:w="16148" w:type="dxa"/>
        </w:tcPr>
        <w:p w14:paraId="1504C94E" w14:textId="1B2EE2BE" w:rsidR="0095560F" w:rsidRPr="008949F5" w:rsidRDefault="00052E37" w:rsidP="008949F5">
          <w:pPr>
            <w:pStyle w:val="Footer"/>
          </w:pPr>
          <w:sdt>
            <w:sdtPr>
              <w:alias w:val="Client Name"/>
              <w:tag w:val="Client Name"/>
              <w:id w:val="255266065"/>
              <w:dataBinding w:prefixMappings="xmlns:ns0='http://WaterTech.com.au' " w:xpath="/ns0:WaterTech[1]/ns0:ClientName[1]" w:storeItemID="{1214C560-496F-4E2F-AD2C-EBE50458B507}"/>
              <w:text/>
            </w:sdtPr>
            <w:sdtEndPr/>
            <w:sdtContent>
              <w:r w:rsidR="0095560F">
                <w:t>City of Albany</w:t>
              </w:r>
            </w:sdtContent>
          </w:sdt>
          <w:r w:rsidR="0095560F" w:rsidRPr="008949F5">
            <w:t xml:space="preserve"> | </w:t>
          </w:r>
          <w:sdt>
            <w:sdtPr>
              <w:alias w:val="Document Date"/>
              <w:tag w:val="Publish Date"/>
              <w:id w:val="2102442769"/>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3977" w:type="dxa"/>
        </w:tcPr>
        <w:p w14:paraId="73AB606B" w14:textId="77777777" w:rsidR="0095560F" w:rsidRPr="008949F5" w:rsidRDefault="0095560F" w:rsidP="008949F5">
          <w:pPr>
            <w:pStyle w:val="Footer"/>
          </w:pPr>
        </w:p>
      </w:tc>
    </w:tr>
    <w:tr w:rsidR="0095560F" w:rsidRPr="000A7029" w14:paraId="7E9F2AF6" w14:textId="77777777" w:rsidTr="00456CAC">
      <w:tc>
        <w:tcPr>
          <w:tcW w:w="16148" w:type="dxa"/>
        </w:tcPr>
        <w:p w14:paraId="382D1495" w14:textId="712778A4" w:rsidR="0095560F" w:rsidRPr="000A7029" w:rsidRDefault="00052E37" w:rsidP="00012298">
          <w:pPr>
            <w:pStyle w:val="Footer"/>
          </w:pPr>
          <w:sdt>
            <w:sdtPr>
              <w:alias w:val="Project Name"/>
              <w:tag w:val="Project Name"/>
              <w:id w:val="-618143715"/>
              <w:dataBinding w:prefixMappings="xmlns:ns0='http://WaterTech.com.au' " w:xpath="/ns0:WaterTech[1]/ns0:ProjectName[1]" w:storeItemID="{1214C560-496F-4E2F-AD2C-EBE50458B507}"/>
              <w:text/>
            </w:sdtPr>
            <w:sdtEndPr/>
            <w:sdtContent>
              <w:r w:rsidR="000631FB">
                <w:t>Summary Document</w:t>
              </w:r>
            </w:sdtContent>
          </w:sdt>
        </w:p>
      </w:tc>
      <w:tc>
        <w:tcPr>
          <w:tcW w:w="3977" w:type="dxa"/>
        </w:tcPr>
        <w:p w14:paraId="347B70B2" w14:textId="77777777" w:rsidR="0095560F" w:rsidRPr="000A7029" w:rsidRDefault="0095560F"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3B401874" w14:textId="77777777" w:rsidR="0095560F" w:rsidRPr="000A7029" w:rsidRDefault="0095560F"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48000" behindDoc="1" locked="0" layoutInCell="1" allowOverlap="1" wp14:anchorId="24F6E200" wp14:editId="51B67721">
              <wp:simplePos x="0" y="0"/>
              <wp:positionH relativeFrom="margin">
                <wp:align>right</wp:align>
              </wp:positionH>
              <wp:positionV relativeFrom="paragraph">
                <wp:posOffset>36195</wp:posOffset>
              </wp:positionV>
              <wp:extent cx="12782550" cy="66675"/>
              <wp:effectExtent l="0" t="0" r="0" b="9525"/>
              <wp:wrapTight wrapText="bothSides">
                <wp:wrapPolygon edited="0">
                  <wp:start x="0" y="0"/>
                  <wp:lineTo x="0" y="18514"/>
                  <wp:lineTo x="21568" y="18514"/>
                  <wp:lineTo x="21568" y="0"/>
                  <wp:lineTo x="0" y="0"/>
                </wp:wrapPolygon>
              </wp:wrapTight>
              <wp:docPr id="13439749" name="Rectangle 13439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782550" cy="66675"/>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FD7D8E0" id="Rectangle 13439749" o:spid="_x0000_s1026" alt="&quot;&quot;" style="position:absolute;margin-left:955.3pt;margin-top:2.85pt;width:1006.5pt;height:5.25pt;z-index:-251673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" fillcolor="#6eb444 [3206]" stroked="f" strokeweight=".5pt">
              <v:fill color2="#0278ad [3204]" angle="225" colors="0 #6eb444;13763f #6eb444;26214f #fcb717;40632f #fcb717" focus="100%" type="gradient">
                <o:fill v:ext="view" type="gradientUnscaled"/>
              </v:fill>
              <v:textbox style="mso-fit-shape-to-text:t"/>
              <w10:wrap type="tight" anchorx="margin"/>
            </v:rect>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0" w:type="auto"/>
      <w:tblLayout w:type="fixed"/>
      <w:tblLook w:val="04A0" w:firstRow="1" w:lastRow="0" w:firstColumn="1" w:lastColumn="0" w:noHBand="0" w:noVBand="1"/>
    </w:tblPr>
    <w:tblGrid>
      <w:gridCol w:w="7734"/>
      <w:gridCol w:w="1904"/>
    </w:tblGrid>
    <w:tr w:rsidR="00FA7BDE" w:rsidRPr="008949F5" w14:paraId="4A8B36B3" w14:textId="77777777" w:rsidTr="00FA7BDE">
      <w:tc>
        <w:tcPr>
          <w:tcW w:w="7734" w:type="dxa"/>
        </w:tcPr>
        <w:p w14:paraId="6652844C" w14:textId="2C7F3DA6" w:rsidR="00FA7BDE" w:rsidRPr="008949F5" w:rsidRDefault="00052E37" w:rsidP="008949F5">
          <w:pPr>
            <w:pStyle w:val="Footer"/>
          </w:pPr>
          <w:sdt>
            <w:sdtPr>
              <w:alias w:val="Client Name"/>
              <w:tag w:val="Client Name"/>
              <w:id w:val="-1074892096"/>
              <w:dataBinding w:prefixMappings="xmlns:ns0='http://WaterTech.com.au' " w:xpath="/ns0:WaterTech[1]/ns0:ClientName[1]" w:storeItemID="{1214C560-496F-4E2F-AD2C-EBE50458B507}"/>
              <w:text/>
            </w:sdtPr>
            <w:sdtEndPr/>
            <w:sdtContent>
              <w:r w:rsidR="00FA7BDE">
                <w:t>City of Albany</w:t>
              </w:r>
            </w:sdtContent>
          </w:sdt>
          <w:r w:rsidR="00FA7BDE" w:rsidRPr="008949F5">
            <w:t xml:space="preserve"> | </w:t>
          </w:r>
          <w:sdt>
            <w:sdtPr>
              <w:alias w:val="Document Date"/>
              <w:tag w:val="Publish Date"/>
              <w:id w:val="-2086057186"/>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1904" w:type="dxa"/>
        </w:tcPr>
        <w:p w14:paraId="06AA33A0" w14:textId="77777777" w:rsidR="00FA7BDE" w:rsidRPr="008949F5" w:rsidRDefault="00FA7BDE" w:rsidP="008949F5">
          <w:pPr>
            <w:pStyle w:val="Footer"/>
          </w:pPr>
        </w:p>
      </w:tc>
    </w:tr>
    <w:tr w:rsidR="00FA7BDE" w:rsidRPr="000A7029" w14:paraId="7B445848" w14:textId="77777777" w:rsidTr="00FA7BDE">
      <w:tc>
        <w:tcPr>
          <w:tcW w:w="7734" w:type="dxa"/>
        </w:tcPr>
        <w:p w14:paraId="59BE45FF" w14:textId="1BE4DDCA" w:rsidR="00FA7BDE" w:rsidRPr="000A7029" w:rsidRDefault="00052E37" w:rsidP="00012298">
          <w:pPr>
            <w:pStyle w:val="Footer"/>
          </w:pPr>
          <w:sdt>
            <w:sdtPr>
              <w:alias w:val="Project Name"/>
              <w:tag w:val="Project Name"/>
              <w:id w:val="273597575"/>
              <w:dataBinding w:prefixMappings="xmlns:ns0='http://WaterTech.com.au' " w:xpath="/ns0:WaterTech[1]/ns0:ProjectName[1]" w:storeItemID="{1214C560-496F-4E2F-AD2C-EBE50458B507}"/>
              <w:text/>
            </w:sdtPr>
            <w:sdtEndPr/>
            <w:sdtContent>
              <w:r w:rsidR="000631FB">
                <w:t>Summary Document</w:t>
              </w:r>
            </w:sdtContent>
          </w:sdt>
        </w:p>
      </w:tc>
      <w:tc>
        <w:tcPr>
          <w:tcW w:w="1904" w:type="dxa"/>
        </w:tcPr>
        <w:p w14:paraId="739020B9" w14:textId="77777777" w:rsidR="00FA7BDE" w:rsidRPr="000A7029" w:rsidRDefault="00FA7BDE"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07FBC4C3" w14:textId="77777777" w:rsidR="00FA7BDE" w:rsidRPr="000A7029" w:rsidRDefault="00FA7BDE"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51072" behindDoc="1" locked="0" layoutInCell="1" allowOverlap="1" wp14:anchorId="60B81107" wp14:editId="794C8E3D">
              <wp:simplePos x="0" y="0"/>
              <wp:positionH relativeFrom="margin">
                <wp:align>right</wp:align>
              </wp:positionH>
              <wp:positionV relativeFrom="paragraph">
                <wp:posOffset>83820</wp:posOffset>
              </wp:positionV>
              <wp:extent cx="6120000" cy="57150"/>
              <wp:effectExtent l="0" t="0" r="0" b="0"/>
              <wp:wrapTight wrapText="bothSides">
                <wp:wrapPolygon edited="0">
                  <wp:start x="0" y="0"/>
                  <wp:lineTo x="0" y="14400"/>
                  <wp:lineTo x="21517" y="14400"/>
                  <wp:lineTo x="21517" y="0"/>
                  <wp:lineTo x="0" y="0"/>
                </wp:wrapPolygon>
              </wp:wrapTight>
              <wp:docPr id="1684428627" name="Rectangle 16844286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57150"/>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D46B566" id="Rectangle 1684428627" o:spid="_x0000_s1026" alt="&quot;&quot;" style="position:absolute;margin-left:430.7pt;margin-top:6.6pt;width:481.9pt;height:4.5pt;z-index:-251663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" fillcolor="#6eb444 [3206]" stroked="f" strokeweight=".5pt">
              <v:fill color2="#0278ad [3204]" angle="225" colors="0 #6eb444;13763f #6eb444;26214f #fcb717;40632f #fcb717" focus="100%" type="gradient">
                <o:fill v:ext="view" type="gradientUnscaled"/>
              </v:fill>
              <w10:wrap type="tight" anchorx="margin"/>
            </v:rect>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5D803" w14:textId="77777777" w:rsidR="008E557B" w:rsidRDefault="008E557B">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0" w:type="auto"/>
      <w:tblLayout w:type="fixed"/>
      <w:tblLook w:val="04A0" w:firstRow="1" w:lastRow="0" w:firstColumn="1" w:lastColumn="0" w:noHBand="0" w:noVBand="1"/>
    </w:tblPr>
    <w:tblGrid>
      <w:gridCol w:w="17286"/>
      <w:gridCol w:w="4257"/>
    </w:tblGrid>
    <w:tr w:rsidR="008E557B" w:rsidRPr="008949F5" w14:paraId="7256ED81" w14:textId="77777777" w:rsidTr="008E557B">
      <w:tc>
        <w:tcPr>
          <w:tcW w:w="17286" w:type="dxa"/>
        </w:tcPr>
        <w:p w14:paraId="77C5CEC0" w14:textId="609F370C" w:rsidR="008E557B" w:rsidRPr="008949F5" w:rsidRDefault="00052E37" w:rsidP="008949F5">
          <w:pPr>
            <w:pStyle w:val="Footer"/>
          </w:pPr>
          <w:sdt>
            <w:sdtPr>
              <w:alias w:val="Client Name"/>
              <w:tag w:val="Client Name"/>
              <w:id w:val="1907647669"/>
              <w:dataBinding w:prefixMappings="xmlns:ns0='http://WaterTech.com.au' " w:xpath="/ns0:WaterTech[1]/ns0:ClientName[1]" w:storeItemID="{1214C560-496F-4E2F-AD2C-EBE50458B507}"/>
              <w:text/>
            </w:sdtPr>
            <w:sdtEndPr/>
            <w:sdtContent>
              <w:r w:rsidR="008E557B">
                <w:t>City of Albany</w:t>
              </w:r>
            </w:sdtContent>
          </w:sdt>
          <w:r w:rsidR="008E557B" w:rsidRPr="008949F5">
            <w:t xml:space="preserve"> | </w:t>
          </w:r>
          <w:sdt>
            <w:sdtPr>
              <w:alias w:val="Document Date"/>
              <w:tag w:val="Publish Date"/>
              <w:id w:val="-811094224"/>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4257" w:type="dxa"/>
        </w:tcPr>
        <w:p w14:paraId="7A999E32" w14:textId="77777777" w:rsidR="008E557B" w:rsidRPr="008949F5" w:rsidRDefault="008E557B" w:rsidP="008949F5">
          <w:pPr>
            <w:pStyle w:val="Footer"/>
          </w:pPr>
        </w:p>
      </w:tc>
    </w:tr>
    <w:tr w:rsidR="008E557B" w:rsidRPr="000A7029" w14:paraId="166AA3F0" w14:textId="77777777" w:rsidTr="008E557B">
      <w:tc>
        <w:tcPr>
          <w:tcW w:w="17286" w:type="dxa"/>
        </w:tcPr>
        <w:p w14:paraId="0BE26C1F" w14:textId="2F5CC153" w:rsidR="008E557B" w:rsidRPr="000A7029" w:rsidRDefault="00052E37" w:rsidP="00012298">
          <w:pPr>
            <w:pStyle w:val="Footer"/>
          </w:pPr>
          <w:sdt>
            <w:sdtPr>
              <w:alias w:val="Project Name"/>
              <w:tag w:val="Project Name"/>
              <w:id w:val="643234155"/>
              <w:dataBinding w:prefixMappings="xmlns:ns0='http://WaterTech.com.au' " w:xpath="/ns0:WaterTech[1]/ns0:ProjectName[1]" w:storeItemID="{1214C560-496F-4E2F-AD2C-EBE50458B507}"/>
              <w:text/>
            </w:sdtPr>
            <w:sdtEndPr/>
            <w:sdtContent>
              <w:r w:rsidR="000631FB">
                <w:t>Summary Document</w:t>
              </w:r>
            </w:sdtContent>
          </w:sdt>
        </w:p>
      </w:tc>
      <w:tc>
        <w:tcPr>
          <w:tcW w:w="4257" w:type="dxa"/>
        </w:tcPr>
        <w:p w14:paraId="085A974A" w14:textId="77777777" w:rsidR="008E557B" w:rsidRPr="000A7029" w:rsidRDefault="008E557B"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141FEE8E" w14:textId="77777777" w:rsidR="008E557B" w:rsidRPr="000A7029" w:rsidRDefault="008E557B"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55168" behindDoc="1" locked="0" layoutInCell="1" allowOverlap="1" wp14:anchorId="280F7230" wp14:editId="6A6FA309">
              <wp:simplePos x="0" y="0"/>
              <wp:positionH relativeFrom="margin">
                <wp:posOffset>32385</wp:posOffset>
              </wp:positionH>
              <wp:positionV relativeFrom="paragraph">
                <wp:posOffset>74295</wp:posOffset>
              </wp:positionV>
              <wp:extent cx="13644245" cy="66675"/>
              <wp:effectExtent l="0" t="0" r="0" b="9525"/>
              <wp:wrapTight wrapText="bothSides">
                <wp:wrapPolygon edited="0">
                  <wp:start x="0" y="0"/>
                  <wp:lineTo x="0" y="18514"/>
                  <wp:lineTo x="21563" y="18514"/>
                  <wp:lineTo x="21563" y="0"/>
                  <wp:lineTo x="0" y="0"/>
                </wp:wrapPolygon>
              </wp:wrapTight>
              <wp:docPr id="1576550512" name="Rectangle 15765505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644245" cy="66675"/>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A44AE82" id="Rectangle 1576550512" o:spid="_x0000_s1026" alt="&quot;&quot;" style="position:absolute;margin-left:2.55pt;margin-top:5.85pt;width:1074.35pt;height:5.25pt;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" fillcolor="#6eb444 [3206]" stroked="f" strokeweight=".5pt">
              <v:fill color2="#0278ad [3204]" angle="225" colors="0 #6eb444;13763f #6eb444;26214f #fcb717;40632f #fcb717" focus="100%" type="gradient">
                <o:fill v:ext="view" type="gradientUnscaled"/>
              </v:fill>
              <w10:wrap type="tight" anchorx="margin"/>
            </v:rect>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9AB4C" w14:textId="77777777" w:rsidR="008E557B" w:rsidRDefault="008E557B">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8D85D" w14:textId="77777777" w:rsidR="008E557B" w:rsidRDefault="008E557B">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0" w:type="auto"/>
      <w:tblLayout w:type="fixed"/>
      <w:tblLook w:val="04A0" w:firstRow="1" w:lastRow="0" w:firstColumn="1" w:lastColumn="0" w:noHBand="0" w:noVBand="1"/>
    </w:tblPr>
    <w:tblGrid>
      <w:gridCol w:w="17286"/>
      <w:gridCol w:w="4257"/>
    </w:tblGrid>
    <w:tr w:rsidR="008E557B" w:rsidRPr="008949F5" w14:paraId="6A8AADDA" w14:textId="77777777" w:rsidTr="008E557B">
      <w:tc>
        <w:tcPr>
          <w:tcW w:w="17286" w:type="dxa"/>
        </w:tcPr>
        <w:p w14:paraId="6A6C9BBA" w14:textId="12323A6E" w:rsidR="008E557B" w:rsidRPr="008949F5" w:rsidRDefault="00052E37" w:rsidP="008949F5">
          <w:pPr>
            <w:pStyle w:val="Footer"/>
          </w:pPr>
          <w:sdt>
            <w:sdtPr>
              <w:alias w:val="Client Name"/>
              <w:tag w:val="Client Name"/>
              <w:id w:val="-936364361"/>
              <w:dataBinding w:prefixMappings="xmlns:ns0='http://WaterTech.com.au' " w:xpath="/ns0:WaterTech[1]/ns0:ClientName[1]" w:storeItemID="{1214C560-496F-4E2F-AD2C-EBE50458B507}"/>
              <w:text/>
            </w:sdtPr>
            <w:sdtEndPr/>
            <w:sdtContent>
              <w:r w:rsidR="008E557B">
                <w:t>City of Albany</w:t>
              </w:r>
            </w:sdtContent>
          </w:sdt>
          <w:r w:rsidR="008E557B" w:rsidRPr="008949F5">
            <w:t xml:space="preserve"> | </w:t>
          </w:r>
          <w:sdt>
            <w:sdtPr>
              <w:alias w:val="Document Date"/>
              <w:tag w:val="Publish Date"/>
              <w:id w:val="1512652684"/>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4257" w:type="dxa"/>
        </w:tcPr>
        <w:p w14:paraId="639F1F8F" w14:textId="77777777" w:rsidR="008E557B" w:rsidRPr="008949F5" w:rsidRDefault="008E557B" w:rsidP="008949F5">
          <w:pPr>
            <w:pStyle w:val="Footer"/>
          </w:pPr>
        </w:p>
      </w:tc>
    </w:tr>
    <w:tr w:rsidR="008E557B" w:rsidRPr="000A7029" w14:paraId="0B506072" w14:textId="77777777" w:rsidTr="008E557B">
      <w:tc>
        <w:tcPr>
          <w:tcW w:w="17286" w:type="dxa"/>
        </w:tcPr>
        <w:p w14:paraId="653C7C87" w14:textId="5BE8C389" w:rsidR="008E557B" w:rsidRPr="000A7029" w:rsidRDefault="00052E37" w:rsidP="00012298">
          <w:pPr>
            <w:pStyle w:val="Footer"/>
          </w:pPr>
          <w:sdt>
            <w:sdtPr>
              <w:alias w:val="Project Name"/>
              <w:tag w:val="Project Name"/>
              <w:id w:val="742922759"/>
              <w:dataBinding w:prefixMappings="xmlns:ns0='http://WaterTech.com.au' " w:xpath="/ns0:WaterTech[1]/ns0:ProjectName[1]" w:storeItemID="{1214C560-496F-4E2F-AD2C-EBE50458B507}"/>
              <w:text/>
            </w:sdtPr>
            <w:sdtEndPr/>
            <w:sdtContent>
              <w:r w:rsidR="000631FB">
                <w:t>Summary Document</w:t>
              </w:r>
            </w:sdtContent>
          </w:sdt>
        </w:p>
      </w:tc>
      <w:tc>
        <w:tcPr>
          <w:tcW w:w="4257" w:type="dxa"/>
        </w:tcPr>
        <w:p w14:paraId="5C823C4E" w14:textId="77777777" w:rsidR="008E557B" w:rsidRPr="000A7029" w:rsidRDefault="008E557B"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25909C4E" w14:textId="77777777" w:rsidR="008E557B" w:rsidRPr="000A7029" w:rsidRDefault="008E557B"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61312" behindDoc="1" locked="0" layoutInCell="1" allowOverlap="1" wp14:anchorId="37C91A3A" wp14:editId="11E8B355">
              <wp:simplePos x="0" y="0"/>
              <wp:positionH relativeFrom="margin">
                <wp:posOffset>24130</wp:posOffset>
              </wp:positionH>
              <wp:positionV relativeFrom="paragraph">
                <wp:posOffset>80645</wp:posOffset>
              </wp:positionV>
              <wp:extent cx="13657580" cy="45085"/>
              <wp:effectExtent l="0" t="0" r="1270" b="0"/>
              <wp:wrapTight wrapText="bothSides">
                <wp:wrapPolygon edited="0">
                  <wp:start x="0" y="0"/>
                  <wp:lineTo x="0" y="9127"/>
                  <wp:lineTo x="21572" y="9127"/>
                  <wp:lineTo x="21572" y="0"/>
                  <wp:lineTo x="0" y="0"/>
                </wp:wrapPolygon>
              </wp:wrapTight>
              <wp:docPr id="1289092040" name="Rectangle 12890920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657580" cy="45085"/>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DAAF78D" id="Rectangle 1289092040" o:spid="_x0000_s1026" alt="&quot;&quot;" style="position:absolute;margin-left:1.9pt;margin-top:6.35pt;width:1075.4pt;height:3.5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" fillcolor="#6eb444 [3206]" stroked="f" strokeweight=".5pt">
              <v:fill color2="#0278ad [3204]" angle="225" colors="0 #6eb444;13763f #6eb444;26214f #fcb717;40632f #fcb717" focus="100%" type="gradient">
                <o:fill v:ext="view" type="gradientUnscaled"/>
              </v:fill>
              <w10:wrap type="tight" anchorx="margin"/>
            </v:rect>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BD7CE" w14:textId="77777777" w:rsidR="008E557B" w:rsidRDefault="008E557B">
    <w:pPr>
      <w:pStyle w:val="Foo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3806D" w14:textId="77777777" w:rsidR="008E557B" w:rsidRDefault="008E557B">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0" w:type="auto"/>
      <w:tblLayout w:type="fixed"/>
      <w:tblLook w:val="04A0" w:firstRow="1" w:lastRow="0" w:firstColumn="1" w:lastColumn="0" w:noHBand="0" w:noVBand="1"/>
    </w:tblPr>
    <w:tblGrid>
      <w:gridCol w:w="7734"/>
      <w:gridCol w:w="1904"/>
    </w:tblGrid>
    <w:tr w:rsidR="008E557B" w:rsidRPr="008949F5" w14:paraId="5C99EFBE" w14:textId="77777777" w:rsidTr="00FA7BDE">
      <w:tc>
        <w:tcPr>
          <w:tcW w:w="7734" w:type="dxa"/>
        </w:tcPr>
        <w:p w14:paraId="57972D2F" w14:textId="6B8C3434" w:rsidR="008E557B" w:rsidRPr="008949F5" w:rsidRDefault="00052E37" w:rsidP="008949F5">
          <w:pPr>
            <w:pStyle w:val="Footer"/>
          </w:pPr>
          <w:sdt>
            <w:sdtPr>
              <w:alias w:val="Client Name"/>
              <w:tag w:val="Client Name"/>
              <w:id w:val="-1070886866"/>
              <w:dataBinding w:prefixMappings="xmlns:ns0='http://WaterTech.com.au' " w:xpath="/ns0:WaterTech[1]/ns0:ClientName[1]" w:storeItemID="{1214C560-496F-4E2F-AD2C-EBE50458B507}"/>
              <w:text/>
            </w:sdtPr>
            <w:sdtEndPr/>
            <w:sdtContent>
              <w:r w:rsidR="008E557B">
                <w:t>City of Albany</w:t>
              </w:r>
            </w:sdtContent>
          </w:sdt>
          <w:r w:rsidR="008E557B" w:rsidRPr="008949F5">
            <w:t xml:space="preserve"> | </w:t>
          </w:r>
          <w:sdt>
            <w:sdtPr>
              <w:alias w:val="Document Date"/>
              <w:tag w:val="Publish Date"/>
              <w:id w:val="-1847477542"/>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1904" w:type="dxa"/>
        </w:tcPr>
        <w:p w14:paraId="5DAD4E19" w14:textId="77777777" w:rsidR="008E557B" w:rsidRPr="008949F5" w:rsidRDefault="008E557B" w:rsidP="008949F5">
          <w:pPr>
            <w:pStyle w:val="Footer"/>
          </w:pPr>
        </w:p>
      </w:tc>
    </w:tr>
    <w:tr w:rsidR="008E557B" w:rsidRPr="000A7029" w14:paraId="08A2B872" w14:textId="77777777" w:rsidTr="00FA7BDE">
      <w:tc>
        <w:tcPr>
          <w:tcW w:w="7734" w:type="dxa"/>
        </w:tcPr>
        <w:p w14:paraId="188F43FD" w14:textId="365E14C5" w:rsidR="008E557B" w:rsidRPr="000A7029" w:rsidRDefault="00052E37" w:rsidP="00012298">
          <w:pPr>
            <w:pStyle w:val="Footer"/>
          </w:pPr>
          <w:sdt>
            <w:sdtPr>
              <w:alias w:val="Project Name"/>
              <w:tag w:val="Project Name"/>
              <w:id w:val="-1809543722"/>
              <w:dataBinding w:prefixMappings="xmlns:ns0='http://WaterTech.com.au' " w:xpath="/ns0:WaterTech[1]/ns0:ProjectName[1]" w:storeItemID="{1214C560-496F-4E2F-AD2C-EBE50458B507}"/>
              <w:text/>
            </w:sdtPr>
            <w:sdtEndPr/>
            <w:sdtContent>
              <w:r w:rsidR="000631FB">
                <w:t>Summary Document</w:t>
              </w:r>
            </w:sdtContent>
          </w:sdt>
        </w:p>
      </w:tc>
      <w:tc>
        <w:tcPr>
          <w:tcW w:w="1904" w:type="dxa"/>
        </w:tcPr>
        <w:p w14:paraId="4B2FECF8" w14:textId="77777777" w:rsidR="008E557B" w:rsidRPr="000A7029" w:rsidRDefault="008E557B"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658A926D" w14:textId="77777777" w:rsidR="008E557B" w:rsidRPr="000A7029" w:rsidRDefault="008E557B"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76672" behindDoc="1" locked="0" layoutInCell="1" allowOverlap="1" wp14:anchorId="10205577" wp14:editId="437B5EFE">
              <wp:simplePos x="0" y="0"/>
              <wp:positionH relativeFrom="margin">
                <wp:align>right</wp:align>
              </wp:positionH>
              <wp:positionV relativeFrom="paragraph">
                <wp:posOffset>83820</wp:posOffset>
              </wp:positionV>
              <wp:extent cx="6120000" cy="57150"/>
              <wp:effectExtent l="0" t="0" r="0" b="0"/>
              <wp:wrapTight wrapText="bothSides">
                <wp:wrapPolygon edited="0">
                  <wp:start x="0" y="0"/>
                  <wp:lineTo x="0" y="14400"/>
                  <wp:lineTo x="21517" y="14400"/>
                  <wp:lineTo x="21517" y="0"/>
                  <wp:lineTo x="0" y="0"/>
                </wp:wrapPolygon>
              </wp:wrapTight>
              <wp:docPr id="1101589419" name="Rectangle 11015894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0000" cy="57150"/>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3CDDE65" id="Rectangle 1101589419" o:spid="_x0000_s1026" alt="&quot;&quot;" style="position:absolute;margin-left:430.7pt;margin-top:6.6pt;width:481.9pt;height:4.5pt;z-index:-251596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" fillcolor="#6eb444 [3206]" stroked="f" strokeweight=".5pt">
              <v:fill color2="#0278ad [3204]" angle="225" colors="0 #6eb444;13763f #6eb444;26214f #fcb717;40632f #fcb717" focus="100%" type="gradient">
                <o:fill v:ext="view" type="gradientUnscaled"/>
              </v:fill>
              <w10:wrap type="tight" anchorx="margin"/>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0" w:type="auto"/>
      <w:tblLayout w:type="fixed"/>
      <w:tblLook w:val="04A0" w:firstRow="1" w:lastRow="0" w:firstColumn="1" w:lastColumn="0" w:noHBand="0" w:noVBand="1"/>
    </w:tblPr>
    <w:tblGrid>
      <w:gridCol w:w="9581"/>
      <w:gridCol w:w="4989"/>
    </w:tblGrid>
    <w:tr w:rsidR="006B33D7" w:rsidRPr="008949F5" w14:paraId="4070AC0C" w14:textId="77777777" w:rsidTr="00FF4B56">
      <w:tc>
        <w:tcPr>
          <w:tcW w:w="9581" w:type="dxa"/>
        </w:tcPr>
        <w:p w14:paraId="3D45A044" w14:textId="4446EF41" w:rsidR="006B33D7" w:rsidRPr="008949F5" w:rsidRDefault="00052E37" w:rsidP="008949F5">
          <w:pPr>
            <w:pStyle w:val="Footer"/>
          </w:pPr>
          <w:sdt>
            <w:sdtPr>
              <w:alias w:val="Client Name"/>
              <w:tag w:val="Client Name"/>
              <w:id w:val="2117556240"/>
              <w:placeholder>
                <w:docPart w:val="9838E467757E4A79BED44E552BB7B853"/>
              </w:placeholder>
              <w:dataBinding w:prefixMappings="xmlns:ns0='http://WaterTech.com.au' " w:xpath="/ns0:WaterTech[1]/ns0:ClientName[1]" w:storeItemID="{1214C560-496F-4E2F-AD2C-EBE50458B507}"/>
              <w:text/>
            </w:sdtPr>
            <w:sdtEndPr/>
            <w:sdtContent>
              <w:r w:rsidR="0063751E">
                <w:t>City of Albany</w:t>
              </w:r>
            </w:sdtContent>
          </w:sdt>
          <w:r w:rsidR="006B33D7" w:rsidRPr="008949F5">
            <w:t xml:space="preserve"> | </w:t>
          </w:r>
          <w:sdt>
            <w:sdtPr>
              <w:alias w:val="Document Date"/>
              <w:tag w:val="Publish Date"/>
              <w:id w:val="-1005674058"/>
              <w:placeholder>
                <w:docPart w:val="AA2CA1451AAC4F74999A5051F3A1CBD6"/>
              </w:placeholder>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4989" w:type="dxa"/>
        </w:tcPr>
        <w:p w14:paraId="3322284C" w14:textId="77777777" w:rsidR="006B33D7" w:rsidRPr="008949F5" w:rsidRDefault="006B33D7" w:rsidP="008949F5">
          <w:pPr>
            <w:pStyle w:val="Footer"/>
          </w:pPr>
        </w:p>
      </w:tc>
    </w:tr>
    <w:tr w:rsidR="006B33D7" w:rsidRPr="000A7029" w14:paraId="765DBA1B" w14:textId="77777777" w:rsidTr="00FF4B56">
      <w:tc>
        <w:tcPr>
          <w:tcW w:w="9581" w:type="dxa"/>
        </w:tcPr>
        <w:p w14:paraId="3D852A4B" w14:textId="65339ACE" w:rsidR="006B33D7" w:rsidRPr="000A7029" w:rsidRDefault="00052E37" w:rsidP="00012298">
          <w:pPr>
            <w:pStyle w:val="Footer"/>
          </w:pPr>
          <w:sdt>
            <w:sdtPr>
              <w:alias w:val="Project Name"/>
              <w:tag w:val="Project Name"/>
              <w:id w:val="327866675"/>
              <w:placeholder>
                <w:docPart w:val="7EB09C6EDEBC4E97A3ECC2B520A04CA2"/>
              </w:placeholder>
              <w:dataBinding w:prefixMappings="xmlns:ns0='http://WaterTech.com.au' " w:xpath="/ns0:WaterTech[1]/ns0:ProjectName[1]" w:storeItemID="{1214C560-496F-4E2F-AD2C-EBE50458B507}"/>
              <w:text/>
            </w:sdtPr>
            <w:sdtEndPr/>
            <w:sdtContent>
              <w:r w:rsidR="000631FB">
                <w:t>Summary Document</w:t>
              </w:r>
            </w:sdtContent>
          </w:sdt>
        </w:p>
      </w:tc>
      <w:tc>
        <w:tcPr>
          <w:tcW w:w="4989" w:type="dxa"/>
        </w:tcPr>
        <w:p w14:paraId="38B4423C" w14:textId="77777777" w:rsidR="006B33D7" w:rsidRPr="000A7029" w:rsidRDefault="006B33D7"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04B99480" w14:textId="77777777" w:rsidR="006B33D7" w:rsidRPr="000A7029" w:rsidRDefault="006B33D7"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65408" behindDoc="0" locked="0" layoutInCell="1" allowOverlap="1" wp14:anchorId="0210CB4B" wp14:editId="59539B7D">
              <wp:simplePos x="0" y="0"/>
              <wp:positionH relativeFrom="page">
                <wp:posOffset>723900</wp:posOffset>
              </wp:positionH>
              <wp:positionV relativeFrom="paragraph">
                <wp:posOffset>36195</wp:posOffset>
              </wp:positionV>
              <wp:extent cx="6120130" cy="46800"/>
              <wp:effectExtent l="0" t="0" r="0" b="0"/>
              <wp:wrapNone/>
              <wp:docPr id="1271336528" name="Rectangle 1271336528"/>
              <wp:cNvGraphicFramePr/>
              <a:graphic xmlns:a="http://schemas.openxmlformats.org/drawingml/2006/main">
                <a:graphicData uri="http://schemas.microsoft.com/office/word/2010/wordprocessingShape">
                  <wps:wsp>
                    <wps:cNvSpPr/>
                    <wps:spPr>
                      <a:xfrm>
                        <a:off x="0" y="0"/>
                        <a:ext cx="6120130" cy="46800"/>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xmlns:w16du="http://schemas.microsoft.com/office/word/2023/wordml/word16du">
          <w:pict>
            <v:rect w14:anchorId="187767E3" id="Rectangle 1271336528" o:spid="_x0000_s1026" style="position:absolute;margin-left:57pt;margin-top:2.85pt;width:481.9pt;height:3.7pt;z-index:251683328;visibility:visible;mso-wrap-style:square;mso-width-percent:1000;mso-height-percent:0;mso-wrap-distance-left:9pt;mso-wrap-distance-top:0;mso-wrap-distance-right:9pt;mso-wrap-distance-bottom:0;mso-position-horizontal:absolute;mso-position-horizontal-relative:page;mso-position-vertical:absolute;mso-position-vertical-relative:text;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" fillcolor="#6eb444 [3206]" stroked="f" strokeweight=".5pt">
              <v:fill color2="#0278ad [3204]" angle="225" colors="0 #6eb444;13763f #6eb444;26214f #fcb717;40632f #fcb717" focus="100%" type="gradient">
                <o:fill v:ext="view" type="gradientUnscaled"/>
              </v:fill>
              <v:textbox style="mso-fit-shape-to-text:t"/>
              <w10:wrap anchorx="page"/>
            </v:rect>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9E74A" w14:textId="77777777" w:rsidR="008E557B" w:rsidRDefault="008E557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6AC48" w14:textId="77777777" w:rsidR="006B33D7" w:rsidRDefault="006B33D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E1375" w14:textId="77777777" w:rsidR="00AF34DF" w:rsidRDefault="00AF34D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5000" w:type="pct"/>
      <w:tblLook w:val="04A0" w:firstRow="1" w:lastRow="0" w:firstColumn="1" w:lastColumn="0" w:noHBand="0" w:noVBand="1"/>
    </w:tblPr>
    <w:tblGrid>
      <w:gridCol w:w="8088"/>
      <w:gridCol w:w="1550"/>
    </w:tblGrid>
    <w:tr w:rsidR="00AF34DF" w:rsidRPr="008949F5" w14:paraId="4937206A" w14:textId="77777777" w:rsidTr="00EA52A0">
      <w:tc>
        <w:tcPr>
          <w:tcW w:w="8088" w:type="dxa"/>
        </w:tcPr>
        <w:p w14:paraId="6E662A85" w14:textId="714207A4" w:rsidR="00AF34DF" w:rsidRPr="008949F5" w:rsidRDefault="00052E37" w:rsidP="008949F5">
          <w:pPr>
            <w:pStyle w:val="Footer"/>
          </w:pPr>
          <w:sdt>
            <w:sdtPr>
              <w:alias w:val="Client Name"/>
              <w:tag w:val="Client Name"/>
              <w:id w:val="1544709646"/>
              <w:dataBinding w:prefixMappings="xmlns:ns0='http://WaterTech.com.au' " w:xpath="/ns0:WaterTech[1]/ns0:ClientName[1]" w:storeItemID="{1214C560-496F-4E2F-AD2C-EBE50458B507}"/>
              <w:text/>
            </w:sdtPr>
            <w:sdtEndPr/>
            <w:sdtContent>
              <w:r w:rsidR="0063751E">
                <w:t>City of Albany</w:t>
              </w:r>
            </w:sdtContent>
          </w:sdt>
          <w:r w:rsidR="00AF34DF" w:rsidRPr="008949F5">
            <w:t xml:space="preserve"> | </w:t>
          </w:r>
          <w:sdt>
            <w:sdtPr>
              <w:alias w:val="Document Date"/>
              <w:tag w:val="Publish Date"/>
              <w:id w:val="1913966894"/>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1550" w:type="dxa"/>
        </w:tcPr>
        <w:p w14:paraId="607A2700" w14:textId="77777777" w:rsidR="00AF34DF" w:rsidRPr="008949F5" w:rsidRDefault="00AF34DF" w:rsidP="008949F5">
          <w:pPr>
            <w:pStyle w:val="Footer"/>
          </w:pPr>
        </w:p>
      </w:tc>
    </w:tr>
    <w:tr w:rsidR="00AF34DF" w:rsidRPr="000A7029" w14:paraId="0EF0966C" w14:textId="77777777" w:rsidTr="00EA52A0">
      <w:tc>
        <w:tcPr>
          <w:tcW w:w="8088" w:type="dxa"/>
        </w:tcPr>
        <w:p w14:paraId="62E34E2F" w14:textId="2CEA6B57" w:rsidR="00AF34DF" w:rsidRPr="000A7029" w:rsidRDefault="00052E37" w:rsidP="00012298">
          <w:pPr>
            <w:pStyle w:val="Footer"/>
          </w:pPr>
          <w:sdt>
            <w:sdtPr>
              <w:alias w:val="Project Name"/>
              <w:tag w:val="Project Name"/>
              <w:id w:val="846516776"/>
              <w:dataBinding w:prefixMappings="xmlns:ns0='http://WaterTech.com.au' " w:xpath="/ns0:WaterTech[1]/ns0:ProjectName[1]" w:storeItemID="{1214C560-496F-4E2F-AD2C-EBE50458B507}"/>
              <w:text/>
            </w:sdtPr>
            <w:sdtEndPr/>
            <w:sdtContent>
              <w:r w:rsidR="000631FB">
                <w:t>Summary Document</w:t>
              </w:r>
            </w:sdtContent>
          </w:sdt>
        </w:p>
      </w:tc>
      <w:tc>
        <w:tcPr>
          <w:tcW w:w="1550" w:type="dxa"/>
        </w:tcPr>
        <w:p w14:paraId="453B4C72" w14:textId="77777777" w:rsidR="00AF34DF" w:rsidRPr="000A7029" w:rsidRDefault="00AF34DF"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3EC75B04" w14:textId="77777777" w:rsidR="00AF34DF" w:rsidRPr="000A7029" w:rsidRDefault="00AF34DF"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40832" behindDoc="0" locked="0" layoutInCell="1" allowOverlap="1" wp14:anchorId="7059978D" wp14:editId="3817DF34">
              <wp:simplePos x="0" y="0"/>
              <wp:positionH relativeFrom="page">
                <wp:posOffset>723900</wp:posOffset>
              </wp:positionH>
              <wp:positionV relativeFrom="paragraph">
                <wp:posOffset>36195</wp:posOffset>
              </wp:positionV>
              <wp:extent cx="6120130" cy="46800"/>
              <wp:effectExtent l="0" t="0" r="0" b="0"/>
              <wp:wrapNone/>
              <wp:docPr id="9" name="Rectangle 9"/>
              <wp:cNvGraphicFramePr/>
              <a:graphic xmlns:a="http://schemas.openxmlformats.org/drawingml/2006/main">
                <a:graphicData uri="http://schemas.microsoft.com/office/word/2010/wordprocessingShape">
                  <wps:wsp>
                    <wps:cNvSpPr/>
                    <wps:spPr>
                      <a:xfrm>
                        <a:off x="0" y="0"/>
                        <a:ext cx="6120130" cy="46800"/>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xmlns:w16du="http://schemas.microsoft.com/office/word/2023/wordml/word16du">
          <w:pict>
            <v:rect w14:anchorId="289EEADC" id="Rectangle 9" o:spid="_x0000_s1026" style="position:absolute;margin-left:57pt;margin-top:2.85pt;width:481.9pt;height:3.7pt;z-index:251621888;visibility:visible;mso-wrap-style:square;mso-width-percent:1000;mso-height-percent:0;mso-wrap-distance-left:9pt;mso-wrap-distance-top:0;mso-wrap-distance-right:9pt;mso-wrap-distance-bottom:0;mso-position-horizontal:absolute;mso-position-horizontal-relative:page;mso-position-vertical:absolute;mso-position-vertical-relative:text;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" fillcolor="#6eb444 [3206]" stroked="f" strokeweight=".5pt">
              <v:fill color2="#0278ad [3204]" angle="225" colors="0 #6eb444;13763f #6eb444;26214f #fcb717;40632f #fcb717" focus="100%" type="gradient">
                <o:fill v:ext="view" type="gradientUnscaled"/>
              </v:fill>
              <v:textbox style="mso-fit-shape-to-text:t"/>
              <w10:wrap anchorx="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398B5" w14:textId="77777777" w:rsidR="00AF34DF" w:rsidRDefault="00AF34DF">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F2521" w14:textId="77777777" w:rsidR="00CF25FD" w:rsidRDefault="00CF25FD">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NoBorders"/>
      <w:tblW w:w="5000" w:type="pct"/>
      <w:tblLook w:val="04A0" w:firstRow="1" w:lastRow="0" w:firstColumn="1" w:lastColumn="0" w:noHBand="0" w:noVBand="1"/>
    </w:tblPr>
    <w:tblGrid>
      <w:gridCol w:w="8088"/>
      <w:gridCol w:w="1550"/>
    </w:tblGrid>
    <w:tr w:rsidR="00CF25FD" w:rsidRPr="008949F5" w14:paraId="4BE383A1" w14:textId="77777777" w:rsidTr="00EA52A0">
      <w:tc>
        <w:tcPr>
          <w:tcW w:w="8088" w:type="dxa"/>
        </w:tcPr>
        <w:p w14:paraId="501767DC" w14:textId="60DBB9DE" w:rsidR="00CF25FD" w:rsidRPr="008949F5" w:rsidRDefault="00052E37" w:rsidP="008949F5">
          <w:pPr>
            <w:pStyle w:val="Footer"/>
          </w:pPr>
          <w:sdt>
            <w:sdtPr>
              <w:alias w:val="Client Name"/>
              <w:tag w:val="Client Name"/>
              <w:id w:val="-874611690"/>
              <w:dataBinding w:prefixMappings="xmlns:ns0='http://WaterTech.com.au' " w:xpath="/ns0:WaterTech[1]/ns0:ClientName[1]" w:storeItemID="{1214C560-496F-4E2F-AD2C-EBE50458B507}"/>
              <w:text/>
            </w:sdtPr>
            <w:sdtEndPr/>
            <w:sdtContent>
              <w:r w:rsidR="0063751E">
                <w:t>City of Albany</w:t>
              </w:r>
            </w:sdtContent>
          </w:sdt>
          <w:r w:rsidR="00CF25FD" w:rsidRPr="008949F5">
            <w:t xml:space="preserve"> | </w:t>
          </w:r>
          <w:sdt>
            <w:sdtPr>
              <w:alias w:val="Document Date"/>
              <w:tag w:val="Publish Date"/>
              <w:id w:val="-977765545"/>
              <w:dataBinding w:prefixMappings="xmlns:ns0='http://schemas.microsoft.com/office/2006/coverPageProps' " w:xpath="/ns0:CoverPageProperties[1]/ns0:PublishDate[1]" w:storeItemID="{55AF091B-3C7A-41E3-B477-F2FDAA23CFDA}"/>
              <w:date w:fullDate="2024-04-19T00:00:00Z">
                <w:dateFormat w:val="d MMMM yyyy"/>
                <w:lid w:val="en-AU"/>
                <w:storeMappedDataAs w:val="dateTime"/>
                <w:calendar w:val="gregorian"/>
              </w:date>
            </w:sdtPr>
            <w:sdtEndPr/>
            <w:sdtContent>
              <w:r w:rsidR="000631FB">
                <w:t>19 April 2024</w:t>
              </w:r>
            </w:sdtContent>
          </w:sdt>
        </w:p>
      </w:tc>
      <w:tc>
        <w:tcPr>
          <w:tcW w:w="1550" w:type="dxa"/>
        </w:tcPr>
        <w:p w14:paraId="2CF847B4" w14:textId="77777777" w:rsidR="00CF25FD" w:rsidRPr="008949F5" w:rsidRDefault="00CF25FD" w:rsidP="008949F5">
          <w:pPr>
            <w:pStyle w:val="Footer"/>
          </w:pPr>
        </w:p>
      </w:tc>
    </w:tr>
    <w:tr w:rsidR="00CF25FD" w:rsidRPr="000A7029" w14:paraId="410B32EC" w14:textId="77777777" w:rsidTr="00EA52A0">
      <w:tc>
        <w:tcPr>
          <w:tcW w:w="8088" w:type="dxa"/>
        </w:tcPr>
        <w:p w14:paraId="723D9D03" w14:textId="1537ED0C" w:rsidR="00CF25FD" w:rsidRPr="000A7029" w:rsidRDefault="00052E37" w:rsidP="00012298">
          <w:pPr>
            <w:pStyle w:val="Footer"/>
          </w:pPr>
          <w:sdt>
            <w:sdtPr>
              <w:alias w:val="Project Name"/>
              <w:tag w:val="Project Name"/>
              <w:id w:val="224660108"/>
              <w:dataBinding w:prefixMappings="xmlns:ns0='http://WaterTech.com.au' " w:xpath="/ns0:WaterTech[1]/ns0:ProjectName[1]" w:storeItemID="{1214C560-496F-4E2F-AD2C-EBE50458B507}"/>
              <w:text/>
            </w:sdtPr>
            <w:sdtEndPr/>
            <w:sdtContent>
              <w:r w:rsidR="000631FB">
                <w:t>Summary Document</w:t>
              </w:r>
            </w:sdtContent>
          </w:sdt>
        </w:p>
      </w:tc>
      <w:tc>
        <w:tcPr>
          <w:tcW w:w="1550" w:type="dxa"/>
        </w:tcPr>
        <w:p w14:paraId="40BD8103" w14:textId="77777777" w:rsidR="00CF25FD" w:rsidRPr="000A7029" w:rsidRDefault="00CF25FD" w:rsidP="00012298">
          <w:pPr>
            <w:pStyle w:val="Footer"/>
            <w:jc w:val="right"/>
          </w:pPr>
          <w:r>
            <w:t xml:space="preserve">Page </w:t>
          </w:r>
          <w:r>
            <w:fldChar w:fldCharType="begin"/>
          </w:r>
          <w:r>
            <w:instrText xml:space="preserve"> PAGE   \* MERGEFORMAT </w:instrText>
          </w:r>
          <w:r>
            <w:fldChar w:fldCharType="separate"/>
          </w:r>
          <w:r>
            <w:rPr>
              <w:noProof/>
            </w:rPr>
            <w:t>11</w:t>
          </w:r>
          <w:r>
            <w:rPr>
              <w:noProof/>
            </w:rPr>
            <w:fldChar w:fldCharType="end"/>
          </w:r>
        </w:p>
      </w:tc>
    </w:tr>
  </w:tbl>
  <w:p w14:paraId="65AD519D" w14:textId="77777777" w:rsidR="00CF25FD" w:rsidRPr="000A7029" w:rsidRDefault="00CF25FD" w:rsidP="00012298">
    <w:pPr>
      <w:pStyle w:val="Footer"/>
      <w:rPr>
        <w:sz w:val="2"/>
        <w:szCs w:val="2"/>
        <w:lang w:eastAsia="en-AU"/>
      </w:rPr>
    </w:pPr>
    <w:r w:rsidRPr="000A7029">
      <w:rPr>
        <w:noProof/>
        <w:sz w:val="2"/>
        <w:szCs w:val="2"/>
        <w:lang w:eastAsia="en-AU"/>
      </w:rPr>
      <mc:AlternateContent>
        <mc:Choice Requires="wps">
          <w:drawing>
            <wp:anchor distT="0" distB="0" distL="114300" distR="114300" simplePos="0" relativeHeight="251646976" behindDoc="0" locked="0" layoutInCell="1" allowOverlap="1" wp14:anchorId="0AEDCAD3" wp14:editId="5F8ABE04">
              <wp:simplePos x="0" y="0"/>
              <wp:positionH relativeFrom="page">
                <wp:posOffset>723900</wp:posOffset>
              </wp:positionH>
              <wp:positionV relativeFrom="paragraph">
                <wp:posOffset>36195</wp:posOffset>
              </wp:positionV>
              <wp:extent cx="6120130" cy="46800"/>
              <wp:effectExtent l="0" t="0" r="0" b="0"/>
              <wp:wrapNone/>
              <wp:docPr id="39" name="Rectangle 39"/>
              <wp:cNvGraphicFramePr/>
              <a:graphic xmlns:a="http://schemas.openxmlformats.org/drawingml/2006/main">
                <a:graphicData uri="http://schemas.microsoft.com/office/word/2010/wordprocessingShape">
                  <wps:wsp>
                    <wps:cNvSpPr/>
                    <wps:spPr>
                      <a:xfrm>
                        <a:off x="0" y="0"/>
                        <a:ext cx="6120130" cy="46800"/>
                      </a:xfrm>
                      <a:prstGeom prst="rect">
                        <a:avLst/>
                      </a:prstGeom>
                      <a:gradFill>
                        <a:gsLst>
                          <a:gs pos="62000">
                            <a:schemeClr val="accent2"/>
                          </a:gs>
                          <a:gs pos="40000">
                            <a:schemeClr val="accent2"/>
                          </a:gs>
                          <a:gs pos="71000">
                            <a:schemeClr val="accent1"/>
                          </a:gs>
                          <a:gs pos="21000">
                            <a:schemeClr val="accent3"/>
                          </a:gs>
                        </a:gsLst>
                        <a:lin ang="13500000" scaled="0"/>
                      </a:gradFill>
                      <a:ln w="6350">
                        <a:noFill/>
                      </a:ln>
                      <a:effec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xmlns:w16du="http://schemas.microsoft.com/office/word/2023/wordml/word16du">
          <w:pict>
            <v:rect w14:anchorId="690E8ED8" id="Rectangle 39" o:spid="_x0000_s1026" style="position:absolute;margin-left:57pt;margin-top:2.85pt;width:481.9pt;height:3.7pt;z-index:251640320;visibility:visible;mso-wrap-style:square;mso-width-percent:1000;mso-height-percent:0;mso-wrap-distance-left:9pt;mso-wrap-distance-top:0;mso-wrap-distance-right:9pt;mso-wrap-distance-bottom:0;mso-position-horizontal:absolute;mso-position-horizontal-relative:page;mso-position-vertical:absolute;mso-position-vertical-relative:text;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" fillcolor="#6eb444 [3206]" stroked="f" strokeweight=".5pt">
              <v:fill color2="#0278ad [3204]" angle="225" colors="0 #6eb444;13763f #6eb444;26214f #fcb717;40632f #fcb717" focus="100%" type="gradient">
                <o:fill v:ext="view" type="gradientUnscaled"/>
              </v:fill>
              <v:textbox style="mso-fit-shape-to-text: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E01C80" w14:textId="77777777" w:rsidR="00F36A9A" w:rsidRDefault="00F36A9A" w:rsidP="00185154">
      <w:r>
        <w:separator/>
      </w:r>
    </w:p>
    <w:p w14:paraId="7AB24D70" w14:textId="77777777" w:rsidR="00F36A9A" w:rsidRDefault="00F36A9A"/>
  </w:footnote>
  <w:footnote w:type="continuationSeparator" w:id="0">
    <w:p w14:paraId="4A7171A1" w14:textId="77777777" w:rsidR="00F36A9A" w:rsidRDefault="00F36A9A" w:rsidP="00185154">
      <w:r>
        <w:continuationSeparator/>
      </w:r>
    </w:p>
    <w:p w14:paraId="7D210D18" w14:textId="77777777" w:rsidR="00F36A9A" w:rsidRDefault="00F36A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8AB82" w14:textId="77777777" w:rsidR="001500B6" w:rsidRPr="001500B6" w:rsidRDefault="001500B6" w:rsidP="001500B6">
    <w:pPr>
      <w:pStyle w:val="Header"/>
      <w:rPr>
        <w:noProof/>
        <w:lang w:eastAsia="en-AU"/>
      </w:rPr>
    </w:pPr>
    <w:r w:rsidRPr="001500B6">
      <w:rPr>
        <w:noProof/>
        <w:lang w:eastAsia="en-AU"/>
      </w:rPr>
      <w:drawing>
        <wp:anchor distT="0" distB="0" distL="114300" distR="114300" simplePos="0" relativeHeight="251656192" behindDoc="0" locked="0" layoutInCell="1" allowOverlap="1" wp14:anchorId="4B3BCE76" wp14:editId="506C6E4A">
          <wp:simplePos x="0" y="0"/>
          <wp:positionH relativeFrom="margin">
            <wp:align>right</wp:align>
          </wp:positionH>
          <wp:positionV relativeFrom="page">
            <wp:posOffset>359410</wp:posOffset>
          </wp:positionV>
          <wp:extent cx="2048165" cy="309245"/>
          <wp:effectExtent l="0" t="0" r="9525" b="0"/>
          <wp:wrapNone/>
          <wp:docPr id="247244433" name="Picture 247244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 cstate="print">
                    <a:extLst>
                      <a:ext uri="{28A0092B-C50C-407E-A947-70E740481C1C}">
                        <a14:useLocalDpi xmlns:a14="http://schemas.microsoft.com/office/drawing/2010/main"/>
                      </a:ext>
                    </a:extLst>
                  </a:blip>
                  <a:srcRect t="5319" r="72"/>
                  <a:stretch/>
                </pic:blipFill>
                <pic:spPr bwMode="auto">
                  <a:xfrm>
                    <a:off x="0" y="0"/>
                    <a:ext cx="2048165" cy="30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00B6">
      <w:rPr>
        <w:noProof/>
        <w:lang w:eastAsia="en-AU"/>
      </w:rPr>
      <w:drawing>
        <wp:anchor distT="0" distB="0" distL="114300" distR="114300" simplePos="0" relativeHeight="251657216" behindDoc="0" locked="0" layoutInCell="1" allowOverlap="1" wp14:anchorId="6ACFFC86" wp14:editId="4817933F">
          <wp:simplePos x="0" y="0"/>
          <wp:positionH relativeFrom="margin">
            <wp:posOffset>0</wp:posOffset>
          </wp:positionH>
          <wp:positionV relativeFrom="page">
            <wp:posOffset>360045</wp:posOffset>
          </wp:positionV>
          <wp:extent cx="1049917" cy="309600"/>
          <wp:effectExtent l="0" t="0" r="0" b="0"/>
          <wp:wrapNone/>
          <wp:docPr id="1132349566" name="Picture 11323495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rotWithShape="1">
                  <a:blip r:embed="rId2" cstate="print">
                    <a:extLst>
                      <a:ext uri="{28A0092B-C50C-407E-A947-70E740481C1C}">
                        <a14:useLocalDpi xmlns:a14="http://schemas.microsoft.com/office/drawing/2010/main"/>
                      </a:ext>
                    </a:extLst>
                  </a:blip>
                  <a:srcRect t="5851" b="4166"/>
                  <a:stretch/>
                </pic:blipFill>
                <pic:spPr bwMode="auto">
                  <a:xfrm>
                    <a:off x="0" y="0"/>
                    <a:ext cx="1049917" cy="3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69595" w14:textId="77777777" w:rsidR="00CF25FD" w:rsidRDefault="00CF25FD">
    <w:pPr>
      <w:pStyle w:val="Header"/>
    </w:pPr>
    <w:r>
      <w:rPr>
        <w:noProof/>
        <w:lang w:eastAsia="en-AU"/>
      </w:rPr>
      <w:drawing>
        <wp:anchor distT="0" distB="0" distL="114300" distR="114300" simplePos="0" relativeHeight="251645952" behindDoc="0" locked="0" layoutInCell="1" allowOverlap="1" wp14:anchorId="68A89696" wp14:editId="26A5F15A">
          <wp:simplePos x="4895850" y="361950"/>
          <wp:positionH relativeFrom="margin">
            <wp:align>left</wp:align>
          </wp:positionH>
          <wp:positionV relativeFrom="page">
            <wp:posOffset>360045</wp:posOffset>
          </wp:positionV>
          <wp:extent cx="1944000" cy="932400"/>
          <wp:effectExtent l="0" t="0" r="0" b="1270"/>
          <wp:wrapNone/>
          <wp:docPr id="1356126443" name="Picture 1356126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eft 2cm-03.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1944000" cy="93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7D274" w14:textId="77777777" w:rsidR="004A034B" w:rsidRDefault="004A034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24432" w14:textId="77777777" w:rsidR="004A034B" w:rsidRPr="001500B6" w:rsidRDefault="004A034B" w:rsidP="001500B6">
    <w:pPr>
      <w:pStyle w:val="Header"/>
      <w:rPr>
        <w:noProof/>
        <w:lang w:eastAsia="en-AU"/>
      </w:rPr>
    </w:pPr>
    <w:r w:rsidRPr="001500B6">
      <w:rPr>
        <w:noProof/>
        <w:lang w:eastAsia="en-AU"/>
      </w:rPr>
      <w:drawing>
        <wp:anchor distT="0" distB="0" distL="114300" distR="114300" simplePos="0" relativeHeight="251662336" behindDoc="0" locked="0" layoutInCell="1" allowOverlap="1" wp14:anchorId="419F155F" wp14:editId="0F03A3DF">
          <wp:simplePos x="0" y="0"/>
          <wp:positionH relativeFrom="margin">
            <wp:align>right</wp:align>
          </wp:positionH>
          <wp:positionV relativeFrom="page">
            <wp:posOffset>359410</wp:posOffset>
          </wp:positionV>
          <wp:extent cx="2048165" cy="309245"/>
          <wp:effectExtent l="0" t="0" r="9525" b="0"/>
          <wp:wrapNone/>
          <wp:docPr id="1194264498" name="Picture 119426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nal 2 header-01.png"/>
                  <pic:cNvPicPr/>
                </pic:nvPicPr>
                <pic:blipFill rotWithShape="1">
                  <a:blip r:embed="rId1" cstate="print">
                    <a:extLst>
                      <a:ext uri="{28A0092B-C50C-407E-A947-70E740481C1C}">
                        <a14:useLocalDpi xmlns:a14="http://schemas.microsoft.com/office/drawing/2010/main"/>
                      </a:ext>
                    </a:extLst>
                  </a:blip>
                  <a:srcRect t="5319" r="72"/>
                  <a:stretch/>
                </pic:blipFill>
                <pic:spPr bwMode="auto">
                  <a:xfrm>
                    <a:off x="0" y="0"/>
                    <a:ext cx="2048165" cy="30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00B6">
      <w:rPr>
        <w:noProof/>
        <w:lang w:eastAsia="en-AU"/>
      </w:rPr>
      <w:drawing>
        <wp:anchor distT="0" distB="0" distL="114300" distR="114300" simplePos="0" relativeHeight="251666432" behindDoc="0" locked="0" layoutInCell="1" allowOverlap="1" wp14:anchorId="19B26AFF" wp14:editId="6CBF68F7">
          <wp:simplePos x="0" y="0"/>
          <wp:positionH relativeFrom="margin">
            <wp:posOffset>0</wp:posOffset>
          </wp:positionH>
          <wp:positionV relativeFrom="page">
            <wp:posOffset>360045</wp:posOffset>
          </wp:positionV>
          <wp:extent cx="1049917" cy="309600"/>
          <wp:effectExtent l="0" t="0" r="0" b="0"/>
          <wp:wrapNone/>
          <wp:docPr id="1610992650" name="Picture 161099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nal 2 header-01.png"/>
                  <pic:cNvPicPr/>
                </pic:nvPicPr>
                <pic:blipFill rotWithShape="1">
                  <a:blip r:embed="rId2" cstate="print">
                    <a:extLst>
                      <a:ext uri="{28A0092B-C50C-407E-A947-70E740481C1C}">
                        <a14:useLocalDpi xmlns:a14="http://schemas.microsoft.com/office/drawing/2010/main"/>
                      </a:ext>
                    </a:extLst>
                  </a:blip>
                  <a:srcRect t="5851" b="4166"/>
                  <a:stretch/>
                </pic:blipFill>
                <pic:spPr bwMode="auto">
                  <a:xfrm>
                    <a:off x="0" y="0"/>
                    <a:ext cx="1049917" cy="3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75DDC" w14:textId="77777777" w:rsidR="004A034B" w:rsidRDefault="004A034B">
    <w:pPr>
      <w:pStyle w:val="Header"/>
    </w:pPr>
    <w:r>
      <w:rPr>
        <w:noProof/>
        <w:lang w:eastAsia="en-AU"/>
      </w:rPr>
      <w:drawing>
        <wp:anchor distT="0" distB="0" distL="114300" distR="114300" simplePos="0" relativeHeight="251667456" behindDoc="0" locked="0" layoutInCell="1" allowOverlap="1" wp14:anchorId="68088075" wp14:editId="293509E8">
          <wp:simplePos x="4895850" y="361950"/>
          <wp:positionH relativeFrom="margin">
            <wp:align>left</wp:align>
          </wp:positionH>
          <wp:positionV relativeFrom="page">
            <wp:posOffset>360045</wp:posOffset>
          </wp:positionV>
          <wp:extent cx="1944000" cy="932400"/>
          <wp:effectExtent l="0" t="0" r="0" b="1270"/>
          <wp:wrapNone/>
          <wp:docPr id="1853106190" name="Picture 185310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eft 2cm-03.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1944000" cy="93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362C3" w14:textId="77777777" w:rsidR="00CD4C64" w:rsidRDefault="00CD4C64">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1C679" w14:textId="77777777" w:rsidR="00CD4C64" w:rsidRDefault="00CD4C64">
    <w:pPr>
      <w:pStyle w:val="Header"/>
    </w:pPr>
    <w:r>
      <w:rPr>
        <w:noProof/>
        <w:lang w:eastAsia="en-AU"/>
      </w:rPr>
      <w:drawing>
        <wp:anchor distT="0" distB="0" distL="114300" distR="114300" simplePos="0" relativeHeight="251641856" behindDoc="0" locked="0" layoutInCell="1" allowOverlap="1" wp14:anchorId="7B3300D6" wp14:editId="6EB40175">
          <wp:simplePos x="4895850" y="361950"/>
          <wp:positionH relativeFrom="margin">
            <wp:align>left</wp:align>
          </wp:positionH>
          <wp:positionV relativeFrom="page">
            <wp:posOffset>360045</wp:posOffset>
          </wp:positionV>
          <wp:extent cx="1944000" cy="932400"/>
          <wp:effectExtent l="0" t="0" r="0" b="1270"/>
          <wp:wrapNone/>
          <wp:docPr id="1930579136" name="Picture 1930579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eft 2cm-03.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1944000" cy="93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2EB0C" w14:textId="77777777" w:rsidR="008E557B" w:rsidRDefault="008E557B">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35C31" w14:textId="77777777" w:rsidR="008E557B" w:rsidRPr="001500B6" w:rsidRDefault="008E557B" w:rsidP="001500B6">
    <w:pPr>
      <w:pStyle w:val="Header"/>
      <w:rPr>
        <w:noProof/>
        <w:lang w:eastAsia="en-AU"/>
      </w:rPr>
    </w:pPr>
    <w:r w:rsidRPr="001500B6">
      <w:rPr>
        <w:noProof/>
        <w:lang w:eastAsia="en-AU"/>
      </w:rPr>
      <w:drawing>
        <wp:anchor distT="0" distB="0" distL="114300" distR="114300" simplePos="0" relativeHeight="251652096" behindDoc="0" locked="0" layoutInCell="1" allowOverlap="1" wp14:anchorId="7684AD13" wp14:editId="5AF0A212">
          <wp:simplePos x="0" y="0"/>
          <wp:positionH relativeFrom="margin">
            <wp:align>right</wp:align>
          </wp:positionH>
          <wp:positionV relativeFrom="page">
            <wp:posOffset>359410</wp:posOffset>
          </wp:positionV>
          <wp:extent cx="2048165" cy="309245"/>
          <wp:effectExtent l="0" t="0" r="9525" b="0"/>
          <wp:wrapNone/>
          <wp:docPr id="1364814474" name="Picture 136481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nal 2 header-01.png"/>
                  <pic:cNvPicPr/>
                </pic:nvPicPr>
                <pic:blipFill rotWithShape="1">
                  <a:blip r:embed="rId1" cstate="print">
                    <a:extLst>
                      <a:ext uri="{28A0092B-C50C-407E-A947-70E740481C1C}">
                        <a14:useLocalDpi xmlns:a14="http://schemas.microsoft.com/office/drawing/2010/main"/>
                      </a:ext>
                    </a:extLst>
                  </a:blip>
                  <a:srcRect t="5319" r="72"/>
                  <a:stretch/>
                </pic:blipFill>
                <pic:spPr bwMode="auto">
                  <a:xfrm>
                    <a:off x="0" y="0"/>
                    <a:ext cx="2048165" cy="30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00B6">
      <w:rPr>
        <w:noProof/>
        <w:lang w:eastAsia="en-AU"/>
      </w:rPr>
      <w:drawing>
        <wp:anchor distT="0" distB="0" distL="114300" distR="114300" simplePos="0" relativeHeight="251653120" behindDoc="0" locked="0" layoutInCell="1" allowOverlap="1" wp14:anchorId="5C86633B" wp14:editId="2A99AE58">
          <wp:simplePos x="0" y="0"/>
          <wp:positionH relativeFrom="margin">
            <wp:posOffset>0</wp:posOffset>
          </wp:positionH>
          <wp:positionV relativeFrom="page">
            <wp:posOffset>360045</wp:posOffset>
          </wp:positionV>
          <wp:extent cx="1049917" cy="309600"/>
          <wp:effectExtent l="0" t="0" r="0" b="0"/>
          <wp:wrapNone/>
          <wp:docPr id="479135770" name="Picture 479135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nal 2 header-01.png"/>
                  <pic:cNvPicPr/>
                </pic:nvPicPr>
                <pic:blipFill rotWithShape="1">
                  <a:blip r:embed="rId2" cstate="print">
                    <a:extLst>
                      <a:ext uri="{28A0092B-C50C-407E-A947-70E740481C1C}">
                        <a14:useLocalDpi xmlns:a14="http://schemas.microsoft.com/office/drawing/2010/main"/>
                      </a:ext>
                    </a:extLst>
                  </a:blip>
                  <a:srcRect t="5851" b="4166"/>
                  <a:stretch/>
                </pic:blipFill>
                <pic:spPr bwMode="auto">
                  <a:xfrm>
                    <a:off x="0" y="0"/>
                    <a:ext cx="1049917" cy="3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1F513B" w14:textId="77777777" w:rsidR="008E557B" w:rsidRDefault="008E557B">
    <w:pPr>
      <w:pStyle w:val="Header"/>
    </w:pPr>
    <w:r>
      <w:rPr>
        <w:noProof/>
        <w:lang w:eastAsia="en-AU"/>
      </w:rPr>
      <w:drawing>
        <wp:anchor distT="0" distB="0" distL="114300" distR="114300" simplePos="0" relativeHeight="251654144" behindDoc="0" locked="0" layoutInCell="1" allowOverlap="1" wp14:anchorId="537C2397" wp14:editId="5C6E4BEB">
          <wp:simplePos x="4895850" y="361950"/>
          <wp:positionH relativeFrom="margin">
            <wp:align>left</wp:align>
          </wp:positionH>
          <wp:positionV relativeFrom="page">
            <wp:posOffset>360045</wp:posOffset>
          </wp:positionV>
          <wp:extent cx="1944000" cy="932400"/>
          <wp:effectExtent l="0" t="0" r="0" b="1270"/>
          <wp:wrapNone/>
          <wp:docPr id="1926492892" name="Picture 192649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eft 2cm-03.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1944000" cy="93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82823" w14:textId="77777777" w:rsidR="008E557B" w:rsidRDefault="008E557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F880F" w14:textId="77777777" w:rsidR="003626BF" w:rsidRDefault="003626BF" w:rsidP="00585E04">
    <w:pPr>
      <w:pStyle w:val="Header"/>
      <w:spacing w:after="360"/>
      <w:jc w:val="left"/>
    </w:pPr>
    <w:r>
      <w:rPr>
        <w:noProof/>
        <w:lang w:eastAsia="en-AU"/>
      </w:rPr>
      <w:drawing>
        <wp:inline distT="0" distB="0" distL="0" distR="0" wp14:anchorId="4B78A763" wp14:editId="6EBA5016">
          <wp:extent cx="1944000" cy="932400"/>
          <wp:effectExtent l="0" t="0" r="0" b="1270"/>
          <wp:docPr id="1347869775" name="Picture 1347869775" descr="Water Technolog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Water Technology Logo"/>
                  <pic:cNvPicPr/>
                </pic:nvPicPr>
                <pic:blipFill>
                  <a:blip r:embed="rId1">
                    <a:extLst>
                      <a:ext uri="{28A0092B-C50C-407E-A947-70E740481C1C}">
                        <a14:useLocalDpi xmlns:a14="http://schemas.microsoft.com/office/drawing/2010/main" val="0"/>
                      </a:ext>
                    </a:extLst>
                  </a:blip>
                  <a:stretch>
                    <a:fillRect/>
                  </a:stretch>
                </pic:blipFill>
                <pic:spPr bwMode="auto">
                  <a:xfrm>
                    <a:off x="0" y="0"/>
                    <a:ext cx="1944000" cy="932400"/>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81D09" w14:textId="77777777" w:rsidR="008E557B" w:rsidRPr="001500B6" w:rsidRDefault="008E557B" w:rsidP="001500B6">
    <w:pPr>
      <w:pStyle w:val="Header"/>
      <w:rPr>
        <w:noProof/>
        <w:lang w:eastAsia="en-AU"/>
      </w:rPr>
    </w:pPr>
    <w:r w:rsidRPr="001500B6">
      <w:rPr>
        <w:noProof/>
        <w:lang w:eastAsia="en-AU"/>
      </w:rPr>
      <w:drawing>
        <wp:anchor distT="0" distB="0" distL="114300" distR="114300" simplePos="0" relativeHeight="251658240" behindDoc="0" locked="0" layoutInCell="1" allowOverlap="1" wp14:anchorId="033E9992" wp14:editId="13962B77">
          <wp:simplePos x="0" y="0"/>
          <wp:positionH relativeFrom="margin">
            <wp:align>right</wp:align>
          </wp:positionH>
          <wp:positionV relativeFrom="page">
            <wp:posOffset>359410</wp:posOffset>
          </wp:positionV>
          <wp:extent cx="2048165" cy="309245"/>
          <wp:effectExtent l="0" t="0" r="9525" b="0"/>
          <wp:wrapNone/>
          <wp:docPr id="1945098450" name="Picture 194509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nal 2 header-01.png"/>
                  <pic:cNvPicPr/>
                </pic:nvPicPr>
                <pic:blipFill rotWithShape="1">
                  <a:blip r:embed="rId1" cstate="print">
                    <a:extLst>
                      <a:ext uri="{28A0092B-C50C-407E-A947-70E740481C1C}">
                        <a14:useLocalDpi xmlns:a14="http://schemas.microsoft.com/office/drawing/2010/main"/>
                      </a:ext>
                    </a:extLst>
                  </a:blip>
                  <a:srcRect t="5319" r="72"/>
                  <a:stretch/>
                </pic:blipFill>
                <pic:spPr bwMode="auto">
                  <a:xfrm>
                    <a:off x="0" y="0"/>
                    <a:ext cx="2048165" cy="30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00B6">
      <w:rPr>
        <w:noProof/>
        <w:lang w:eastAsia="en-AU"/>
      </w:rPr>
      <w:drawing>
        <wp:anchor distT="0" distB="0" distL="114300" distR="114300" simplePos="0" relativeHeight="251659264" behindDoc="0" locked="0" layoutInCell="1" allowOverlap="1" wp14:anchorId="030E3B45" wp14:editId="540471AC">
          <wp:simplePos x="0" y="0"/>
          <wp:positionH relativeFrom="margin">
            <wp:posOffset>0</wp:posOffset>
          </wp:positionH>
          <wp:positionV relativeFrom="page">
            <wp:posOffset>360045</wp:posOffset>
          </wp:positionV>
          <wp:extent cx="1049917" cy="309600"/>
          <wp:effectExtent l="0" t="0" r="0" b="0"/>
          <wp:wrapNone/>
          <wp:docPr id="1032643971" name="Picture 103264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nal 2 header-01.png"/>
                  <pic:cNvPicPr/>
                </pic:nvPicPr>
                <pic:blipFill rotWithShape="1">
                  <a:blip r:embed="rId2" cstate="print">
                    <a:extLst>
                      <a:ext uri="{28A0092B-C50C-407E-A947-70E740481C1C}">
                        <a14:useLocalDpi xmlns:a14="http://schemas.microsoft.com/office/drawing/2010/main"/>
                      </a:ext>
                    </a:extLst>
                  </a:blip>
                  <a:srcRect t="5851" b="4166"/>
                  <a:stretch/>
                </pic:blipFill>
                <pic:spPr bwMode="auto">
                  <a:xfrm>
                    <a:off x="0" y="0"/>
                    <a:ext cx="1049917" cy="3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F4BC4" w14:textId="77777777" w:rsidR="008E557B" w:rsidRDefault="008E557B">
    <w:pPr>
      <w:pStyle w:val="Header"/>
    </w:pPr>
    <w:r>
      <w:rPr>
        <w:noProof/>
        <w:lang w:eastAsia="en-AU"/>
      </w:rPr>
      <w:drawing>
        <wp:anchor distT="0" distB="0" distL="114300" distR="114300" simplePos="0" relativeHeight="251660288" behindDoc="0" locked="0" layoutInCell="1" allowOverlap="1" wp14:anchorId="639A4CE2" wp14:editId="31845A29">
          <wp:simplePos x="4895850" y="361950"/>
          <wp:positionH relativeFrom="margin">
            <wp:align>left</wp:align>
          </wp:positionH>
          <wp:positionV relativeFrom="page">
            <wp:posOffset>360045</wp:posOffset>
          </wp:positionV>
          <wp:extent cx="1944000" cy="932400"/>
          <wp:effectExtent l="0" t="0" r="0" b="1270"/>
          <wp:wrapNone/>
          <wp:docPr id="946807549" name="Picture 94680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eft 2cm-03.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1944000" cy="93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51B96" w14:textId="77777777" w:rsidR="008E557B" w:rsidRDefault="008E557B">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5072E" w14:textId="5A33265C" w:rsidR="008E557B" w:rsidRPr="001500B6" w:rsidRDefault="008E557B" w:rsidP="001500B6">
    <w:pPr>
      <w:pStyle w:val="Header"/>
      <w:rPr>
        <w:noProof/>
        <w:lang w:eastAsia="en-AU"/>
      </w:rPr>
    </w:pPr>
    <w:r w:rsidRPr="001500B6">
      <w:rPr>
        <w:noProof/>
        <w:lang w:eastAsia="en-AU"/>
      </w:rPr>
      <w:drawing>
        <wp:anchor distT="0" distB="0" distL="114300" distR="114300" simplePos="0" relativeHeight="251674624" behindDoc="0" locked="0" layoutInCell="1" allowOverlap="1" wp14:anchorId="31BFFF42" wp14:editId="77537A06">
          <wp:simplePos x="0" y="0"/>
          <wp:positionH relativeFrom="margin">
            <wp:posOffset>0</wp:posOffset>
          </wp:positionH>
          <wp:positionV relativeFrom="page">
            <wp:posOffset>360045</wp:posOffset>
          </wp:positionV>
          <wp:extent cx="1049917" cy="309600"/>
          <wp:effectExtent l="0" t="0" r="0" b="0"/>
          <wp:wrapNone/>
          <wp:docPr id="181560138" name="Picture 18156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nal 2 header-01.png"/>
                  <pic:cNvPicPr/>
                </pic:nvPicPr>
                <pic:blipFill rotWithShape="1">
                  <a:blip r:embed="rId1" cstate="print">
                    <a:extLst>
                      <a:ext uri="{28A0092B-C50C-407E-A947-70E740481C1C}">
                        <a14:useLocalDpi xmlns:a14="http://schemas.microsoft.com/office/drawing/2010/main"/>
                      </a:ext>
                    </a:extLst>
                  </a:blip>
                  <a:srcRect t="5851" b="4166"/>
                  <a:stretch/>
                </pic:blipFill>
                <pic:spPr bwMode="auto">
                  <a:xfrm>
                    <a:off x="0" y="0"/>
                    <a:ext cx="1049917" cy="3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9845F" w14:textId="77777777" w:rsidR="008E557B" w:rsidRDefault="008E557B">
    <w:pPr>
      <w:pStyle w:val="Header"/>
    </w:pPr>
    <w:r>
      <w:rPr>
        <w:noProof/>
        <w:lang w:eastAsia="en-AU"/>
      </w:rPr>
      <w:drawing>
        <wp:anchor distT="0" distB="0" distL="114300" distR="114300" simplePos="0" relativeHeight="251675648" behindDoc="0" locked="0" layoutInCell="1" allowOverlap="1" wp14:anchorId="5767F419" wp14:editId="4A0C36C7">
          <wp:simplePos x="4895850" y="361950"/>
          <wp:positionH relativeFrom="margin">
            <wp:align>left</wp:align>
          </wp:positionH>
          <wp:positionV relativeFrom="page">
            <wp:posOffset>360045</wp:posOffset>
          </wp:positionV>
          <wp:extent cx="1944000" cy="932400"/>
          <wp:effectExtent l="0" t="0" r="0" b="1270"/>
          <wp:wrapNone/>
          <wp:docPr id="1536069730" name="Picture 153606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eft 2cm-03.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1944000" cy="93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4205E" w14:textId="77777777" w:rsidR="006B33D7" w:rsidRDefault="006B33D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D7160" w14:textId="77777777" w:rsidR="006B33D7" w:rsidRPr="001500B6" w:rsidRDefault="006B33D7" w:rsidP="001500B6">
    <w:pPr>
      <w:pStyle w:val="Header"/>
      <w:rPr>
        <w:noProof/>
        <w:lang w:eastAsia="en-AU"/>
      </w:rPr>
    </w:pPr>
    <w:r w:rsidRPr="001500B6">
      <w:rPr>
        <w:noProof/>
        <w:lang w:eastAsia="en-AU"/>
      </w:rPr>
      <w:drawing>
        <wp:anchor distT="0" distB="0" distL="114300" distR="114300" simplePos="0" relativeHeight="251663360" behindDoc="0" locked="0" layoutInCell="1" allowOverlap="1" wp14:anchorId="5E9992EC" wp14:editId="44A6476B">
          <wp:simplePos x="0" y="0"/>
          <wp:positionH relativeFrom="margin">
            <wp:align>right</wp:align>
          </wp:positionH>
          <wp:positionV relativeFrom="page">
            <wp:posOffset>359410</wp:posOffset>
          </wp:positionV>
          <wp:extent cx="2048165" cy="309245"/>
          <wp:effectExtent l="0" t="0" r="9525" b="0"/>
          <wp:wrapNone/>
          <wp:docPr id="639642317" name="Picture 6396423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1" cstate="print">
                    <a:extLst>
                      <a:ext uri="{28A0092B-C50C-407E-A947-70E740481C1C}">
                        <a14:useLocalDpi xmlns:a14="http://schemas.microsoft.com/office/drawing/2010/main"/>
                      </a:ext>
                    </a:extLst>
                  </a:blip>
                  <a:srcRect t="5319" r="72"/>
                  <a:stretch/>
                </pic:blipFill>
                <pic:spPr bwMode="auto">
                  <a:xfrm>
                    <a:off x="0" y="0"/>
                    <a:ext cx="2048165" cy="30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00B6">
      <w:rPr>
        <w:noProof/>
        <w:lang w:eastAsia="en-AU"/>
      </w:rPr>
      <w:drawing>
        <wp:anchor distT="0" distB="0" distL="114300" distR="114300" simplePos="0" relativeHeight="251664384" behindDoc="0" locked="0" layoutInCell="1" allowOverlap="1" wp14:anchorId="3A0EABFD" wp14:editId="5FE8D3C3">
          <wp:simplePos x="0" y="0"/>
          <wp:positionH relativeFrom="margin">
            <wp:posOffset>0</wp:posOffset>
          </wp:positionH>
          <wp:positionV relativeFrom="page">
            <wp:posOffset>360045</wp:posOffset>
          </wp:positionV>
          <wp:extent cx="1049917" cy="309600"/>
          <wp:effectExtent l="0" t="0" r="0" b="0"/>
          <wp:wrapNone/>
          <wp:docPr id="1154456641" name="Picture 11544566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rotWithShape="1">
                  <a:blip r:embed="rId2" cstate="print">
                    <a:extLst>
                      <a:ext uri="{28A0092B-C50C-407E-A947-70E740481C1C}">
                        <a14:useLocalDpi xmlns:a14="http://schemas.microsoft.com/office/drawing/2010/main"/>
                      </a:ext>
                    </a:extLst>
                  </a:blip>
                  <a:srcRect t="5851" b="4166"/>
                  <a:stretch/>
                </pic:blipFill>
                <pic:spPr bwMode="auto">
                  <a:xfrm>
                    <a:off x="0" y="0"/>
                    <a:ext cx="1049917" cy="3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84C1D" w14:textId="77777777" w:rsidR="006B33D7" w:rsidRDefault="006B33D7" w:rsidP="00585E04">
    <w:pPr>
      <w:pStyle w:val="Header"/>
      <w:spacing w:after="360"/>
      <w:jc w:val="left"/>
    </w:pPr>
    <w:r>
      <w:rPr>
        <w:noProof/>
        <w:lang w:eastAsia="en-AU"/>
      </w:rPr>
      <w:drawing>
        <wp:inline distT="0" distB="0" distL="0" distR="0" wp14:anchorId="778100CC" wp14:editId="2B0882A7">
          <wp:extent cx="1944000" cy="932400"/>
          <wp:effectExtent l="0" t="0" r="0" b="1270"/>
          <wp:docPr id="1136238558" name="Picture 1136238558" descr="Water Technolog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Water Technology Logo"/>
                  <pic:cNvPicPr/>
                </pic:nvPicPr>
                <pic:blipFill>
                  <a:blip r:embed="rId1">
                    <a:extLst>
                      <a:ext uri="{28A0092B-C50C-407E-A947-70E740481C1C}">
                        <a14:useLocalDpi xmlns:a14="http://schemas.microsoft.com/office/drawing/2010/main" val="0"/>
                      </a:ext>
                    </a:extLst>
                  </a:blip>
                  <a:stretch>
                    <a:fillRect/>
                  </a:stretch>
                </pic:blipFill>
                <pic:spPr bwMode="auto">
                  <a:xfrm>
                    <a:off x="0" y="0"/>
                    <a:ext cx="1944000" cy="932400"/>
                  </a:xfrm>
                  <a:prstGeom prst="rect">
                    <a:avLst/>
                  </a:prstGeom>
                  <a:ln>
                    <a:noFill/>
                  </a:ln>
                  <a:extLst>
                    <a:ext uri="{53640926-AAD7-44D8-BBD7-CCE9431645EC}">
                      <a14:shadowObscured xmlns:a14="http://schemas.microsoft.com/office/drawing/2010/main"/>
                    </a:ext>
                  </a:extLst>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115B4" w14:textId="77777777" w:rsidR="00AF34DF" w:rsidRDefault="00AF34D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86A15" w14:textId="77777777" w:rsidR="00AF34DF" w:rsidRDefault="00AF34DF">
    <w:pPr>
      <w:pStyle w:val="Header"/>
    </w:pPr>
    <w:r>
      <w:rPr>
        <w:noProof/>
        <w:lang w:eastAsia="en-AU"/>
      </w:rPr>
      <w:drawing>
        <wp:anchor distT="0" distB="0" distL="114300" distR="114300" simplePos="0" relativeHeight="251639808" behindDoc="0" locked="0" layoutInCell="1" allowOverlap="1" wp14:anchorId="06DAA5C9" wp14:editId="0D16C5F9">
          <wp:simplePos x="4895850" y="361950"/>
          <wp:positionH relativeFrom="margin">
            <wp:align>left</wp:align>
          </wp:positionH>
          <wp:positionV relativeFrom="page">
            <wp:posOffset>360045</wp:posOffset>
          </wp:positionV>
          <wp:extent cx="1944000" cy="932400"/>
          <wp:effectExtent l="0" t="0" r="0" b="1270"/>
          <wp:wrapNone/>
          <wp:docPr id="544011225" name="Picture 54401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eft 2cm-03.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1944000" cy="93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F498D" w14:textId="77777777" w:rsidR="00CF25FD" w:rsidRDefault="00CF25F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06ED7" w14:textId="77777777" w:rsidR="00CF25FD" w:rsidRPr="001500B6" w:rsidRDefault="00CF25FD" w:rsidP="001500B6">
    <w:pPr>
      <w:pStyle w:val="Header"/>
      <w:rPr>
        <w:noProof/>
        <w:lang w:eastAsia="en-AU"/>
      </w:rPr>
    </w:pPr>
    <w:r w:rsidRPr="001500B6">
      <w:rPr>
        <w:noProof/>
        <w:lang w:eastAsia="en-AU"/>
      </w:rPr>
      <w:drawing>
        <wp:anchor distT="0" distB="0" distL="114300" distR="114300" simplePos="0" relativeHeight="251643904" behindDoc="0" locked="0" layoutInCell="1" allowOverlap="1" wp14:anchorId="66241EB3" wp14:editId="12BAAAD9">
          <wp:simplePos x="0" y="0"/>
          <wp:positionH relativeFrom="margin">
            <wp:align>right</wp:align>
          </wp:positionH>
          <wp:positionV relativeFrom="page">
            <wp:posOffset>359410</wp:posOffset>
          </wp:positionV>
          <wp:extent cx="2048165" cy="309245"/>
          <wp:effectExtent l="0" t="0" r="9525" b="0"/>
          <wp:wrapNone/>
          <wp:docPr id="1243592043" name="Picture 124359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nal 2 header-01.png"/>
                  <pic:cNvPicPr/>
                </pic:nvPicPr>
                <pic:blipFill rotWithShape="1">
                  <a:blip r:embed="rId1" cstate="print">
                    <a:extLst>
                      <a:ext uri="{28A0092B-C50C-407E-A947-70E740481C1C}">
                        <a14:useLocalDpi xmlns:a14="http://schemas.microsoft.com/office/drawing/2010/main"/>
                      </a:ext>
                    </a:extLst>
                  </a:blip>
                  <a:srcRect t="5319" r="72"/>
                  <a:stretch/>
                </pic:blipFill>
                <pic:spPr bwMode="auto">
                  <a:xfrm>
                    <a:off x="0" y="0"/>
                    <a:ext cx="2048165" cy="30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00B6">
      <w:rPr>
        <w:noProof/>
        <w:lang w:eastAsia="en-AU"/>
      </w:rPr>
      <w:drawing>
        <wp:anchor distT="0" distB="0" distL="114300" distR="114300" simplePos="0" relativeHeight="251644928" behindDoc="0" locked="0" layoutInCell="1" allowOverlap="1" wp14:anchorId="1E38F6F0" wp14:editId="0A662032">
          <wp:simplePos x="0" y="0"/>
          <wp:positionH relativeFrom="margin">
            <wp:posOffset>0</wp:posOffset>
          </wp:positionH>
          <wp:positionV relativeFrom="page">
            <wp:posOffset>360045</wp:posOffset>
          </wp:positionV>
          <wp:extent cx="1049917" cy="309600"/>
          <wp:effectExtent l="0" t="0" r="0" b="0"/>
          <wp:wrapNone/>
          <wp:docPr id="1987005950" name="Picture 198700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ternal 2 header-01.png"/>
                  <pic:cNvPicPr/>
                </pic:nvPicPr>
                <pic:blipFill rotWithShape="1">
                  <a:blip r:embed="rId2" cstate="print">
                    <a:extLst>
                      <a:ext uri="{28A0092B-C50C-407E-A947-70E740481C1C}">
                        <a14:useLocalDpi xmlns:a14="http://schemas.microsoft.com/office/drawing/2010/main"/>
                      </a:ext>
                    </a:extLst>
                  </a:blip>
                  <a:srcRect t="5851" b="4166"/>
                  <a:stretch/>
                </pic:blipFill>
                <pic:spPr bwMode="auto">
                  <a:xfrm>
                    <a:off x="0" y="0"/>
                    <a:ext cx="1049917" cy="30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AD1"/>
    <w:multiLevelType w:val="hybridMultilevel"/>
    <w:tmpl w:val="520056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3A362A"/>
    <w:multiLevelType w:val="multilevel"/>
    <w:tmpl w:val="B6708528"/>
    <w:numStyleLink w:val="ListBullet"/>
  </w:abstractNum>
  <w:abstractNum w:abstractNumId="2" w15:restartNumberingAfterBreak="0">
    <w:nsid w:val="01FB28C5"/>
    <w:multiLevelType w:val="multilevel"/>
    <w:tmpl w:val="885EFBB4"/>
    <w:styleLink w:val="ListParagraph0"/>
    <w:lvl w:ilvl="0">
      <w:start w:val="1"/>
      <w:numFmt w:val="none"/>
      <w:suff w:val="nothing"/>
      <w:lvlText w:val=""/>
      <w:lvlJc w:val="left"/>
      <w:pPr>
        <w:ind w:left="397" w:firstLine="0"/>
      </w:pPr>
      <w:rPr>
        <w:rFonts w:asciiTheme="minorHAnsi" w:hAnsiTheme="minorHAnsi" w:hint="default"/>
        <w:color w:val="auto"/>
      </w:rPr>
    </w:lvl>
    <w:lvl w:ilvl="1">
      <w:start w:val="1"/>
      <w:numFmt w:val="none"/>
      <w:suff w:val="nothing"/>
      <w:lvlText w:val=""/>
      <w:lvlJc w:val="left"/>
      <w:pPr>
        <w:ind w:left="794" w:firstLine="0"/>
      </w:pPr>
      <w:rPr>
        <w:rFonts w:asciiTheme="minorHAnsi" w:hAnsiTheme="minorHAnsi" w:hint="default"/>
        <w:color w:val="auto"/>
      </w:rPr>
    </w:lvl>
    <w:lvl w:ilvl="2">
      <w:start w:val="1"/>
      <w:numFmt w:val="none"/>
      <w:suff w:val="nothing"/>
      <w:lvlText w:val=""/>
      <w:lvlJc w:val="left"/>
      <w:pPr>
        <w:ind w:left="1191" w:firstLine="0"/>
      </w:pPr>
      <w:rPr>
        <w:rFonts w:asciiTheme="minorHAnsi" w:hAnsiTheme="minorHAnsi" w:hint="default"/>
        <w:color w:val="auto"/>
      </w:rPr>
    </w:lvl>
    <w:lvl w:ilvl="3">
      <w:start w:val="1"/>
      <w:numFmt w:val="none"/>
      <w:suff w:val="nothing"/>
      <w:lvlText w:val=""/>
      <w:lvlJc w:val="left"/>
      <w:pPr>
        <w:ind w:left="1588" w:firstLine="0"/>
      </w:pPr>
      <w:rPr>
        <w:rFonts w:asciiTheme="minorHAnsi" w:hAnsiTheme="minorHAnsi" w:hint="default"/>
        <w:color w:val="auto"/>
      </w:rPr>
    </w:lvl>
    <w:lvl w:ilvl="4">
      <w:start w:val="1"/>
      <w:numFmt w:val="none"/>
      <w:suff w:val="nothing"/>
      <w:lvlText w:val=""/>
      <w:lvlJc w:val="left"/>
      <w:pPr>
        <w:ind w:left="1985" w:firstLine="0"/>
      </w:pPr>
      <w:rPr>
        <w:rFonts w:asciiTheme="minorHAnsi" w:hAnsiTheme="minorHAnsi" w:hint="default"/>
        <w:color w:val="auto"/>
      </w:rPr>
    </w:lvl>
    <w:lvl w:ilvl="5">
      <w:start w:val="1"/>
      <w:numFmt w:val="none"/>
      <w:suff w:val="nothing"/>
      <w:lvlText w:val=""/>
      <w:lvlJc w:val="left"/>
      <w:pPr>
        <w:ind w:left="2382" w:firstLine="0"/>
      </w:pPr>
      <w:rPr>
        <w:rFonts w:asciiTheme="minorHAnsi" w:hAnsiTheme="minorHAnsi" w:hint="default"/>
        <w:color w:val="auto"/>
      </w:rPr>
    </w:lvl>
    <w:lvl w:ilvl="6">
      <w:start w:val="1"/>
      <w:numFmt w:val="none"/>
      <w:suff w:val="nothing"/>
      <w:lvlText w:val=""/>
      <w:lvlJc w:val="left"/>
      <w:pPr>
        <w:ind w:left="2779" w:firstLine="0"/>
      </w:pPr>
      <w:rPr>
        <w:rFonts w:hint="default"/>
        <w:color w:val="000000"/>
      </w:rPr>
    </w:lvl>
    <w:lvl w:ilvl="7">
      <w:start w:val="1"/>
      <w:numFmt w:val="none"/>
      <w:suff w:val="nothing"/>
      <w:lvlText w:val=""/>
      <w:lvlJc w:val="left"/>
      <w:pPr>
        <w:ind w:left="3176" w:firstLine="0"/>
      </w:pPr>
      <w:rPr>
        <w:rFonts w:hint="default"/>
      </w:rPr>
    </w:lvl>
    <w:lvl w:ilvl="8">
      <w:numFmt w:val="none"/>
      <w:lvlText w:val=""/>
      <w:lvlJc w:val="left"/>
      <w:pPr>
        <w:tabs>
          <w:tab w:val="num" w:pos="3573"/>
        </w:tabs>
        <w:ind w:left="3573" w:firstLine="0"/>
      </w:pPr>
      <w:rPr>
        <w:rFonts w:hint="default"/>
      </w:rPr>
    </w:lvl>
  </w:abstractNum>
  <w:abstractNum w:abstractNumId="3" w15:restartNumberingAfterBreak="0">
    <w:nsid w:val="025C34A4"/>
    <w:multiLevelType w:val="multilevel"/>
    <w:tmpl w:val="7D92B12C"/>
    <w:styleLink w:val="ListAppendix"/>
    <w:lvl w:ilvl="0">
      <w:start w:val="1"/>
      <w:numFmt w:val="upperLetter"/>
      <w:lvlRestart w:val="0"/>
      <w:suff w:val="nothing"/>
      <w:lvlText w:val="Appendix %1"/>
      <w:lvlJc w:val="left"/>
      <w:pPr>
        <w:ind w:left="0" w:firstLine="0"/>
      </w:pPr>
      <w:rPr>
        <w:rFonts w:ascii="Arial" w:hAnsi="Arial" w:hint="default"/>
        <w:color w:val="0278AD" w:themeColor="accent1"/>
        <w:sz w:val="40"/>
        <w:szCs w:val="32"/>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rPr>
    </w:lvl>
    <w:lvl w:ilvl="3">
      <w:start w:val="1"/>
      <w:numFmt w:val="none"/>
      <w:suff w:val="nothing"/>
      <w:lvlText w:val=""/>
      <w:lvlJc w:val="left"/>
      <w:pPr>
        <w:ind w:left="-851" w:firstLine="0"/>
      </w:pPr>
      <w:rPr>
        <w:rFonts w:hint="default"/>
        <w:color w:val="76787B"/>
      </w:rPr>
    </w:lvl>
    <w:lvl w:ilvl="4">
      <w:start w:val="1"/>
      <w:numFmt w:val="none"/>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
      <w:lvlJc w:val="left"/>
      <w:pPr>
        <w:ind w:left="-851" w:firstLine="0"/>
      </w:pPr>
      <w:rPr>
        <w:rFonts w:hint="default"/>
        <w:sz w:val="18"/>
      </w:rPr>
    </w:lvl>
    <w:lvl w:ilvl="7">
      <w:start w:val="1"/>
      <w:numFmt w:val="none"/>
      <w:suff w:val="nothing"/>
      <w:lvlText w:val=""/>
      <w:lvlJc w:val="left"/>
      <w:pPr>
        <w:ind w:left="-851" w:firstLine="0"/>
      </w:pPr>
      <w:rPr>
        <w:rFonts w:hint="default"/>
      </w:rPr>
    </w:lvl>
    <w:lvl w:ilvl="8">
      <w:start w:val="1"/>
      <w:numFmt w:val="none"/>
      <w:suff w:val="nothing"/>
      <w:lvlText w:val=""/>
      <w:lvlJc w:val="left"/>
      <w:pPr>
        <w:ind w:left="-851" w:firstLine="0"/>
      </w:pPr>
      <w:rPr>
        <w:rFonts w:hint="default"/>
      </w:rPr>
    </w:lvl>
  </w:abstractNum>
  <w:abstractNum w:abstractNumId="4" w15:restartNumberingAfterBreak="0">
    <w:nsid w:val="04A7223F"/>
    <w:multiLevelType w:val="multilevel"/>
    <w:tmpl w:val="B6708528"/>
    <w:numStyleLink w:val="ListBullet"/>
  </w:abstractNum>
  <w:abstractNum w:abstractNumId="5" w15:restartNumberingAfterBreak="0">
    <w:nsid w:val="06D9547A"/>
    <w:multiLevelType w:val="hybridMultilevel"/>
    <w:tmpl w:val="974E1B3A"/>
    <w:lvl w:ilvl="0" w:tplc="D60287B4">
      <w:start w:val="1"/>
      <w:numFmt w:val="lowerLetter"/>
      <w:lvlText w:val="%1)"/>
      <w:lvlJc w:val="left"/>
      <w:pPr>
        <w:ind w:left="928" w:hanging="360"/>
      </w:pPr>
      <w:rPr>
        <w:rFonts w:hint="default"/>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6" w15:restartNumberingAfterBreak="0">
    <w:nsid w:val="07284AE9"/>
    <w:multiLevelType w:val="multilevel"/>
    <w:tmpl w:val="5BB828AE"/>
    <w:styleLink w:val="ListAlpha"/>
    <w:lvl w:ilvl="0">
      <w:start w:val="1"/>
      <w:numFmt w:val="lowerLetter"/>
      <w:lvlText w:val="%1."/>
      <w:lvlJc w:val="left"/>
      <w:pPr>
        <w:tabs>
          <w:tab w:val="num" w:pos="397"/>
        </w:tabs>
        <w:ind w:left="397" w:hanging="397"/>
      </w:pPr>
      <w:rPr>
        <w:rFonts w:asciiTheme="minorHAnsi" w:hAnsiTheme="minorHAnsi" w:hint="default"/>
        <w:color w:val="auto"/>
      </w:rPr>
    </w:lvl>
    <w:lvl w:ilvl="1">
      <w:start w:val="1"/>
      <w:numFmt w:val="lowerRoman"/>
      <w:lvlText w:val="%2."/>
      <w:lvlJc w:val="left"/>
      <w:pPr>
        <w:tabs>
          <w:tab w:val="num" w:pos="794"/>
        </w:tabs>
        <w:ind w:left="794" w:hanging="397"/>
      </w:pPr>
      <w:rPr>
        <w:rFonts w:asciiTheme="minorHAnsi" w:hAnsiTheme="minorHAnsi" w:hint="default"/>
        <w:color w:val="auto"/>
      </w:rPr>
    </w:lvl>
    <w:lvl w:ilvl="2">
      <w:start w:val="1"/>
      <w:numFmt w:val="decimal"/>
      <w:lvlText w:val="%3."/>
      <w:lvlJc w:val="left"/>
      <w:pPr>
        <w:tabs>
          <w:tab w:val="num" w:pos="1191"/>
        </w:tabs>
        <w:ind w:left="1191" w:hanging="397"/>
      </w:pPr>
      <w:rPr>
        <w:rFonts w:asciiTheme="minorHAnsi" w:hAnsiTheme="minorHAnsi" w:hint="default"/>
        <w:color w:val="auto"/>
      </w:rPr>
    </w:lvl>
    <w:lvl w:ilvl="3">
      <w:start w:val="1"/>
      <w:numFmt w:val="upperLetter"/>
      <w:lvlText w:val="%4."/>
      <w:lvlJc w:val="left"/>
      <w:pPr>
        <w:tabs>
          <w:tab w:val="num" w:pos="1588"/>
        </w:tabs>
        <w:ind w:left="1588" w:hanging="397"/>
      </w:pPr>
      <w:rPr>
        <w:rFonts w:asciiTheme="minorHAnsi" w:hAnsiTheme="minorHAnsi" w:hint="default"/>
        <w:color w:val="auto"/>
      </w:rPr>
    </w:lvl>
    <w:lvl w:ilvl="4">
      <w:start w:val="1"/>
      <w:numFmt w:val="upperRoman"/>
      <w:lvlText w:val="%5."/>
      <w:lvlJc w:val="left"/>
      <w:pPr>
        <w:tabs>
          <w:tab w:val="num" w:pos="1985"/>
        </w:tabs>
        <w:ind w:left="1985" w:hanging="397"/>
      </w:pPr>
      <w:rPr>
        <w:rFonts w:asciiTheme="minorHAnsi" w:hAnsiTheme="minorHAnsi" w:hint="default"/>
        <w:color w:val="auto"/>
      </w:rPr>
    </w:lvl>
    <w:lvl w:ilvl="5">
      <w:start w:val="1"/>
      <w:numFmt w:val="decimal"/>
      <w:lvlText w:val="%6."/>
      <w:lvlJc w:val="left"/>
      <w:pPr>
        <w:tabs>
          <w:tab w:val="num" w:pos="2382"/>
        </w:tabs>
        <w:ind w:left="2382" w:hanging="397"/>
      </w:pPr>
      <w:rPr>
        <w:rFonts w:asciiTheme="minorHAnsi" w:hAnsiTheme="minorHAnsi" w:hint="default"/>
        <w:color w:val="auto"/>
      </w:rPr>
    </w:lvl>
    <w:lvl w:ilvl="6">
      <w:start w:val="1"/>
      <w:numFmt w:val="none"/>
      <w:lvlText w:val=""/>
      <w:lvlJc w:val="left"/>
      <w:pPr>
        <w:tabs>
          <w:tab w:val="num" w:pos="2779"/>
        </w:tabs>
        <w:ind w:left="2779" w:hanging="397"/>
      </w:pPr>
      <w:rPr>
        <w:rFonts w:hint="default"/>
      </w:rPr>
    </w:lvl>
    <w:lvl w:ilvl="7">
      <w:start w:val="1"/>
      <w:numFmt w:val="none"/>
      <w:lvlText w:val=""/>
      <w:lvlJc w:val="left"/>
      <w:pPr>
        <w:tabs>
          <w:tab w:val="num" w:pos="3176"/>
        </w:tabs>
        <w:ind w:left="3176" w:hanging="397"/>
      </w:pPr>
      <w:rPr>
        <w:rFonts w:hint="default"/>
      </w:rPr>
    </w:lvl>
    <w:lvl w:ilvl="8">
      <w:start w:val="1"/>
      <w:numFmt w:val="none"/>
      <w:lvlText w:val=""/>
      <w:lvlJc w:val="left"/>
      <w:pPr>
        <w:tabs>
          <w:tab w:val="num" w:pos="3573"/>
        </w:tabs>
        <w:ind w:left="3573" w:hanging="397"/>
      </w:pPr>
      <w:rPr>
        <w:rFonts w:hint="default"/>
      </w:rPr>
    </w:lvl>
  </w:abstractNum>
  <w:abstractNum w:abstractNumId="7" w15:restartNumberingAfterBreak="0">
    <w:nsid w:val="08E14E60"/>
    <w:multiLevelType w:val="multilevel"/>
    <w:tmpl w:val="B6708528"/>
    <w:numStyleLink w:val="ListBullet"/>
  </w:abstractNum>
  <w:abstractNum w:abstractNumId="8" w15:restartNumberingAfterBreak="0">
    <w:nsid w:val="0C8339DE"/>
    <w:multiLevelType w:val="multilevel"/>
    <w:tmpl w:val="B6708528"/>
    <w:numStyleLink w:val="ListBullet"/>
  </w:abstractNum>
  <w:abstractNum w:abstractNumId="9" w15:restartNumberingAfterBreak="0">
    <w:nsid w:val="0CCD4DAA"/>
    <w:multiLevelType w:val="multilevel"/>
    <w:tmpl w:val="FA066A86"/>
    <w:styleLink w:val="ListTableBullet"/>
    <w:lvl w:ilvl="0">
      <w:start w:val="1"/>
      <w:numFmt w:val="bullet"/>
      <w:pStyle w:val="TableBullet"/>
      <w:lvlText w:val=""/>
      <w:lvlJc w:val="left"/>
      <w:pPr>
        <w:tabs>
          <w:tab w:val="num" w:pos="284"/>
        </w:tabs>
        <w:ind w:left="284" w:hanging="284"/>
      </w:pPr>
      <w:rPr>
        <w:rFonts w:ascii="Wingdings" w:hAnsi="Wingdings" w:hint="default"/>
        <w:color w:val="auto"/>
        <w:sz w:val="18"/>
      </w:rPr>
    </w:lvl>
    <w:lvl w:ilvl="1">
      <w:start w:val="1"/>
      <w:numFmt w:val="bullet"/>
      <w:pStyle w:val="TableBullet2"/>
      <w:lvlText w:val="–"/>
      <w:lvlJc w:val="left"/>
      <w:pPr>
        <w:tabs>
          <w:tab w:val="num" w:pos="567"/>
        </w:tabs>
        <w:ind w:left="567" w:hanging="283"/>
      </w:pPr>
      <w:rPr>
        <w:rFonts w:ascii="Arial" w:hAnsi="Arial" w:hint="default"/>
        <w:color w:val="auto"/>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10" w15:restartNumberingAfterBreak="0">
    <w:nsid w:val="0D216C16"/>
    <w:multiLevelType w:val="multilevel"/>
    <w:tmpl w:val="FA066A86"/>
    <w:numStyleLink w:val="ListTableBullet"/>
  </w:abstractNum>
  <w:abstractNum w:abstractNumId="11" w15:restartNumberingAfterBreak="0">
    <w:nsid w:val="153E1606"/>
    <w:multiLevelType w:val="multilevel"/>
    <w:tmpl w:val="B6708528"/>
    <w:numStyleLink w:val="ListBullet"/>
  </w:abstractNum>
  <w:abstractNum w:abstractNumId="12" w15:restartNumberingAfterBreak="0">
    <w:nsid w:val="1BA66648"/>
    <w:multiLevelType w:val="multilevel"/>
    <w:tmpl w:val="B6708528"/>
    <w:numStyleLink w:val="ListBullet"/>
  </w:abstractNum>
  <w:abstractNum w:abstractNumId="13" w15:restartNumberingAfterBreak="0">
    <w:nsid w:val="1ED75DCD"/>
    <w:multiLevelType w:val="hybridMultilevel"/>
    <w:tmpl w:val="92648C4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22EF565A"/>
    <w:multiLevelType w:val="hybridMultilevel"/>
    <w:tmpl w:val="57E0971A"/>
    <w:lvl w:ilvl="0" w:tplc="901E4BDA">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4741D40"/>
    <w:multiLevelType w:val="multilevel"/>
    <w:tmpl w:val="9C9A4B58"/>
    <w:styleLink w:val="ListNumber"/>
    <w:lvl w:ilvl="0">
      <w:start w:val="1"/>
      <w:numFmt w:val="decimal"/>
      <w:lvlText w:val="%1."/>
      <w:lvlJc w:val="left"/>
      <w:pPr>
        <w:tabs>
          <w:tab w:val="num" w:pos="397"/>
        </w:tabs>
        <w:ind w:left="397" w:hanging="397"/>
      </w:pPr>
      <w:rPr>
        <w:rFonts w:asciiTheme="minorHAnsi" w:hAnsiTheme="minorHAnsi" w:hint="default"/>
        <w:b w:val="0"/>
        <w:i w:val="0"/>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794"/>
        </w:tabs>
        <w:ind w:left="794" w:hanging="397"/>
      </w:pPr>
      <w:rPr>
        <w:rFonts w:asciiTheme="minorHAnsi" w:hAnsiTheme="minorHAnsi" w:hint="default"/>
        <w:b w:val="0"/>
        <w:i w:val="0"/>
        <w:color w:val="auto"/>
        <w:sz w:val="20"/>
      </w:rPr>
    </w:lvl>
    <w:lvl w:ilvl="2">
      <w:start w:val="1"/>
      <w:numFmt w:val="lowerRoman"/>
      <w:lvlText w:val="%3."/>
      <w:lvlJc w:val="left"/>
      <w:pPr>
        <w:tabs>
          <w:tab w:val="num" w:pos="1191"/>
        </w:tabs>
        <w:ind w:left="1191" w:hanging="397"/>
      </w:pPr>
      <w:rPr>
        <w:rFonts w:asciiTheme="minorHAnsi" w:hAnsiTheme="minorHAnsi" w:hint="default"/>
        <w:b w:val="0"/>
        <w:i w:val="0"/>
        <w:color w:val="auto"/>
        <w:sz w:val="20"/>
      </w:rPr>
    </w:lvl>
    <w:lvl w:ilvl="3">
      <w:start w:val="1"/>
      <w:numFmt w:val="upperLetter"/>
      <w:lvlText w:val="%4."/>
      <w:lvlJc w:val="left"/>
      <w:pPr>
        <w:tabs>
          <w:tab w:val="num" w:pos="1588"/>
        </w:tabs>
        <w:ind w:left="1588" w:hanging="397"/>
      </w:pPr>
      <w:rPr>
        <w:rFonts w:asciiTheme="minorHAnsi" w:hAnsiTheme="minorHAnsi" w:hint="default"/>
        <w:b w:val="0"/>
        <w:i w:val="0"/>
        <w:color w:val="auto"/>
        <w:sz w:val="20"/>
      </w:rPr>
    </w:lvl>
    <w:lvl w:ilvl="4">
      <w:start w:val="1"/>
      <w:numFmt w:val="upperRoman"/>
      <w:lvlText w:val="%5."/>
      <w:lvlJc w:val="left"/>
      <w:pPr>
        <w:tabs>
          <w:tab w:val="num" w:pos="1985"/>
        </w:tabs>
        <w:ind w:left="1985" w:hanging="397"/>
      </w:pPr>
      <w:rPr>
        <w:rFonts w:asciiTheme="minorHAnsi" w:hAnsiTheme="minorHAnsi" w:hint="default"/>
        <w:b w:val="0"/>
        <w:i w:val="0"/>
        <w:color w:val="auto"/>
        <w:sz w:val="20"/>
      </w:rPr>
    </w:lvl>
    <w:lvl w:ilvl="5">
      <w:start w:val="1"/>
      <w:numFmt w:val="decimal"/>
      <w:lvlText w:val="%6."/>
      <w:lvlJc w:val="left"/>
      <w:pPr>
        <w:tabs>
          <w:tab w:val="num" w:pos="2382"/>
        </w:tabs>
        <w:ind w:left="2382" w:hanging="397"/>
      </w:pPr>
      <w:rPr>
        <w:rFonts w:asciiTheme="minorHAnsi" w:hAnsiTheme="minorHAnsi" w:hint="default"/>
        <w:b w:val="0"/>
        <w:i w:val="0"/>
        <w:color w:val="auto"/>
        <w:sz w:val="20"/>
      </w:rPr>
    </w:lvl>
    <w:lvl w:ilvl="6">
      <w:start w:val="1"/>
      <w:numFmt w:val="none"/>
      <w:suff w:val="nothing"/>
      <w:lvlText w:val="%7"/>
      <w:lvlJc w:val="left"/>
      <w:pPr>
        <w:ind w:left="2779" w:hanging="397"/>
      </w:pPr>
      <w:rPr>
        <w:rFonts w:hint="default"/>
        <w:color w:val="E1001A"/>
      </w:rPr>
    </w:lvl>
    <w:lvl w:ilvl="7">
      <w:start w:val="1"/>
      <w:numFmt w:val="none"/>
      <w:suff w:val="nothing"/>
      <w:lvlText w:val="%8"/>
      <w:lvlJc w:val="left"/>
      <w:pPr>
        <w:ind w:left="3176" w:hanging="397"/>
      </w:pPr>
      <w:rPr>
        <w:rFonts w:hint="default"/>
        <w:color w:val="E1001A"/>
        <w:sz w:val="20"/>
      </w:rPr>
    </w:lvl>
    <w:lvl w:ilvl="8">
      <w:start w:val="1"/>
      <w:numFmt w:val="none"/>
      <w:suff w:val="nothing"/>
      <w:lvlText w:val="%9"/>
      <w:lvlJc w:val="left"/>
      <w:pPr>
        <w:ind w:left="3573" w:hanging="397"/>
      </w:pPr>
      <w:rPr>
        <w:rFonts w:hint="default"/>
        <w:color w:val="E1001A"/>
      </w:rPr>
    </w:lvl>
  </w:abstractNum>
  <w:abstractNum w:abstractNumId="16" w15:restartNumberingAfterBreak="0">
    <w:nsid w:val="2C782FAE"/>
    <w:multiLevelType w:val="multilevel"/>
    <w:tmpl w:val="B6708528"/>
    <w:numStyleLink w:val="ListBullet"/>
  </w:abstractNum>
  <w:abstractNum w:abstractNumId="17" w15:restartNumberingAfterBreak="0">
    <w:nsid w:val="2D1E0BF0"/>
    <w:multiLevelType w:val="multilevel"/>
    <w:tmpl w:val="B6708528"/>
    <w:numStyleLink w:val="ListBullet"/>
  </w:abstractNum>
  <w:abstractNum w:abstractNumId="18" w15:restartNumberingAfterBreak="0">
    <w:nsid w:val="321F00BA"/>
    <w:multiLevelType w:val="multilevel"/>
    <w:tmpl w:val="3832337C"/>
    <w:numStyleLink w:val="ListTableNumber"/>
  </w:abstractNum>
  <w:abstractNum w:abstractNumId="19" w15:restartNumberingAfterBreak="0">
    <w:nsid w:val="332C6DC4"/>
    <w:multiLevelType w:val="multilevel"/>
    <w:tmpl w:val="B6708528"/>
    <w:numStyleLink w:val="ListBullet"/>
  </w:abstractNum>
  <w:abstractNum w:abstractNumId="20" w15:restartNumberingAfterBreak="0">
    <w:nsid w:val="353912ED"/>
    <w:multiLevelType w:val="multilevel"/>
    <w:tmpl w:val="B6708528"/>
    <w:styleLink w:val="ListBullet"/>
    <w:lvl w:ilvl="0">
      <w:start w:val="1"/>
      <w:numFmt w:val="bullet"/>
      <w:lvlText w:val=""/>
      <w:lvlJc w:val="left"/>
      <w:pPr>
        <w:tabs>
          <w:tab w:val="num" w:pos="397"/>
        </w:tabs>
        <w:ind w:left="397" w:hanging="397"/>
      </w:pPr>
      <w:rPr>
        <w:rFonts w:ascii="Wingdings" w:hAnsi="Wingdings" w:hint="default"/>
        <w:b w:val="0"/>
        <w:i w:val="0"/>
        <w:color w:val="0278AD" w:themeColor="accent1"/>
        <w:sz w:val="18"/>
        <w:szCs w:val="20"/>
      </w:rPr>
    </w:lvl>
    <w:lvl w:ilvl="1">
      <w:start w:val="1"/>
      <w:numFmt w:val="bullet"/>
      <w:lvlText w:val=""/>
      <w:lvlJc w:val="left"/>
      <w:pPr>
        <w:tabs>
          <w:tab w:val="num" w:pos="794"/>
        </w:tabs>
        <w:ind w:left="794" w:hanging="397"/>
      </w:pPr>
      <w:rPr>
        <w:rFonts w:ascii="Wingdings" w:hAnsi="Wingdings" w:hint="default"/>
        <w:caps w:val="0"/>
        <w:strike w:val="0"/>
        <w:dstrike w:val="0"/>
        <w:vanish w:val="0"/>
        <w:color w:val="FCB717" w:themeColor="accent2"/>
        <w:sz w:val="18"/>
        <w:u w:val="none"/>
        <w:vertAlign w:val="baseline"/>
      </w:rPr>
    </w:lvl>
    <w:lvl w:ilvl="2">
      <w:start w:val="1"/>
      <w:numFmt w:val="bullet"/>
      <w:lvlText w:val=""/>
      <w:lvlJc w:val="left"/>
      <w:pPr>
        <w:tabs>
          <w:tab w:val="num" w:pos="1191"/>
        </w:tabs>
        <w:ind w:left="1191" w:hanging="397"/>
      </w:pPr>
      <w:rPr>
        <w:rFonts w:ascii="Wingdings" w:hAnsi="Wingdings" w:hint="default"/>
        <w:color w:val="6EB444" w:themeColor="accent3"/>
        <w:sz w:val="18"/>
      </w:rPr>
    </w:lvl>
    <w:lvl w:ilvl="3">
      <w:start w:val="1"/>
      <w:numFmt w:val="bullet"/>
      <w:lvlText w:val=""/>
      <w:lvlJc w:val="left"/>
      <w:pPr>
        <w:tabs>
          <w:tab w:val="num" w:pos="1588"/>
        </w:tabs>
        <w:ind w:left="1588" w:hanging="397"/>
      </w:pPr>
      <w:rPr>
        <w:rFonts w:ascii="Wingdings" w:hAnsi="Wingdings" w:hint="default"/>
        <w:caps w:val="0"/>
        <w:strike w:val="0"/>
        <w:dstrike w:val="0"/>
        <w:vanish w:val="0"/>
        <w:color w:val="FF8000" w:themeColor="accent4"/>
        <w:sz w:val="18"/>
        <w:u w:val="none"/>
        <w:vertAlign w:val="baseline"/>
      </w:rPr>
    </w:lvl>
    <w:lvl w:ilvl="4">
      <w:start w:val="1"/>
      <w:numFmt w:val="bullet"/>
      <w:lvlText w:val=""/>
      <w:lvlJc w:val="left"/>
      <w:pPr>
        <w:tabs>
          <w:tab w:val="num" w:pos="1985"/>
        </w:tabs>
        <w:ind w:left="1985" w:hanging="397"/>
      </w:pPr>
      <w:rPr>
        <w:rFonts w:ascii="Wingdings" w:hAnsi="Wingdings" w:hint="default"/>
        <w:color w:val="CC003F" w:themeColor="accent5"/>
        <w:sz w:val="18"/>
      </w:rPr>
    </w:lvl>
    <w:lvl w:ilvl="5">
      <w:start w:val="1"/>
      <w:numFmt w:val="bullet"/>
      <w:suff w:val="nothing"/>
      <w:lvlText w:val="–"/>
      <w:lvlJc w:val="left"/>
      <w:pPr>
        <w:ind w:left="2382" w:hanging="397"/>
      </w:pPr>
      <w:rPr>
        <w:rFonts w:ascii="Times New Roman" w:hAnsi="Times New Roman" w:cs="Times New Roman" w:hint="default"/>
        <w:caps w:val="0"/>
        <w:strike w:val="0"/>
        <w:dstrike w:val="0"/>
        <w:vanish w:val="0"/>
        <w:color w:val="auto"/>
        <w:sz w:val="20"/>
        <w:u w:val="none"/>
        <w:vertAlign w:val="baseline"/>
      </w:rPr>
    </w:lvl>
    <w:lvl w:ilvl="6">
      <w:start w:val="1"/>
      <w:numFmt w:val="none"/>
      <w:suff w:val="nothing"/>
      <w:lvlText w:val=""/>
      <w:lvlJc w:val="left"/>
      <w:pPr>
        <w:ind w:left="2779" w:hanging="397"/>
      </w:pPr>
      <w:rPr>
        <w:rFonts w:hint="default"/>
        <w:color w:val="auto"/>
        <w:sz w:val="20"/>
      </w:rPr>
    </w:lvl>
    <w:lvl w:ilvl="7">
      <w:start w:val="1"/>
      <w:numFmt w:val="none"/>
      <w:suff w:val="nothing"/>
      <w:lvlText w:val="%8"/>
      <w:lvlJc w:val="left"/>
      <w:pPr>
        <w:ind w:left="3176" w:hanging="397"/>
      </w:pPr>
      <w:rPr>
        <w:rFonts w:hint="default"/>
        <w:color w:val="000000"/>
        <w:sz w:val="20"/>
      </w:rPr>
    </w:lvl>
    <w:lvl w:ilvl="8">
      <w:start w:val="1"/>
      <w:numFmt w:val="none"/>
      <w:suff w:val="nothing"/>
      <w:lvlText w:val=""/>
      <w:lvlJc w:val="left"/>
      <w:pPr>
        <w:ind w:left="3573" w:hanging="397"/>
      </w:pPr>
      <w:rPr>
        <w:rFonts w:hint="default"/>
      </w:rPr>
    </w:lvl>
  </w:abstractNum>
  <w:abstractNum w:abstractNumId="21" w15:restartNumberingAfterBreak="0">
    <w:nsid w:val="36952592"/>
    <w:multiLevelType w:val="multilevel"/>
    <w:tmpl w:val="B6708528"/>
    <w:numStyleLink w:val="ListBullet"/>
  </w:abstractNum>
  <w:abstractNum w:abstractNumId="22" w15:restartNumberingAfterBreak="0">
    <w:nsid w:val="37DF1784"/>
    <w:multiLevelType w:val="multilevel"/>
    <w:tmpl w:val="B6708528"/>
    <w:numStyleLink w:val="ListBullet"/>
  </w:abstractNum>
  <w:abstractNum w:abstractNumId="23" w15:restartNumberingAfterBreak="0">
    <w:nsid w:val="388C1C72"/>
    <w:multiLevelType w:val="hybridMultilevel"/>
    <w:tmpl w:val="07B89BA4"/>
    <w:lvl w:ilvl="0" w:tplc="098ED4BE">
      <w:start w:val="1"/>
      <w:numFmt w:val="decimal"/>
      <w:lvlText w:val="%1."/>
      <w:lvlJc w:val="left"/>
      <w:pPr>
        <w:ind w:left="720" w:hanging="360"/>
      </w:pPr>
      <w:rPr>
        <w:rFonts w:hint="default"/>
      </w:rPr>
    </w:lvl>
    <w:lvl w:ilvl="1" w:tplc="08090019">
      <w:start w:val="1"/>
      <w:numFmt w:val="lowerLetter"/>
      <w:lvlText w:val="%2."/>
      <w:lvlJc w:val="left"/>
      <w:pPr>
        <w:ind w:left="107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B06080F"/>
    <w:multiLevelType w:val="multilevel"/>
    <w:tmpl w:val="B6708528"/>
    <w:numStyleLink w:val="ListBullet"/>
  </w:abstractNum>
  <w:abstractNum w:abstractNumId="25" w15:restartNumberingAfterBreak="0">
    <w:nsid w:val="3B416C14"/>
    <w:multiLevelType w:val="multilevel"/>
    <w:tmpl w:val="EFB6A74A"/>
    <w:lvl w:ilvl="0">
      <w:start w:val="1"/>
      <w:numFmt w:val="bullet"/>
      <w:lvlText w:val=""/>
      <w:lvlJc w:val="left"/>
      <w:pPr>
        <w:tabs>
          <w:tab w:val="num" w:pos="284"/>
        </w:tabs>
        <w:ind w:left="284" w:hanging="284"/>
      </w:pPr>
      <w:rPr>
        <w:rFonts w:ascii="Wingdings" w:hAnsi="Wingdings" w:hint="default"/>
        <w:color w:val="auto"/>
        <w:sz w:val="18"/>
      </w:rPr>
    </w:lvl>
    <w:lvl w:ilvl="1">
      <w:start w:val="1"/>
      <w:numFmt w:val="bullet"/>
      <w:lvlText w:val=""/>
      <w:lvlJc w:val="left"/>
      <w:pPr>
        <w:ind w:left="644" w:hanging="360"/>
      </w:pPr>
      <w:rPr>
        <w:rFonts w:ascii="Symbol" w:hAnsi="Symbol" w:hint="default"/>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26" w15:restartNumberingAfterBreak="0">
    <w:nsid w:val="40071FAE"/>
    <w:multiLevelType w:val="multilevel"/>
    <w:tmpl w:val="6C1285F2"/>
    <w:styleLink w:val="ListNumberedHeadings"/>
    <w:lvl w:ilvl="0">
      <w:start w:val="1"/>
      <w:numFmt w:val="decimal"/>
      <w:pStyle w:val="Heading1"/>
      <w:lvlText w:val="%1"/>
      <w:lvlJc w:val="left"/>
      <w:pPr>
        <w:tabs>
          <w:tab w:val="num" w:pos="1134"/>
        </w:tabs>
        <w:ind w:left="1134" w:hanging="1134"/>
      </w:pPr>
      <w:rPr>
        <w:rFonts w:asciiTheme="majorHAnsi" w:hAnsiTheme="majorHAnsi" w:hint="default"/>
        <w:color w:val="0278AD" w:themeColor="accent1"/>
      </w:rPr>
    </w:lvl>
    <w:lvl w:ilvl="1">
      <w:start w:val="1"/>
      <w:numFmt w:val="decimal"/>
      <w:pStyle w:val="Heading2"/>
      <w:lvlText w:val="%1.%2"/>
      <w:lvlJc w:val="left"/>
      <w:pPr>
        <w:tabs>
          <w:tab w:val="num" w:pos="1134"/>
        </w:tabs>
        <w:ind w:left="1134" w:hanging="1134"/>
      </w:pPr>
      <w:rPr>
        <w:rFonts w:asciiTheme="majorHAnsi" w:hAnsiTheme="majorHAnsi" w:hint="default"/>
        <w:color w:val="59595B" w:themeColor="text2"/>
      </w:rPr>
    </w:lvl>
    <w:lvl w:ilvl="2">
      <w:start w:val="1"/>
      <w:numFmt w:val="decimal"/>
      <w:pStyle w:val="Heading3"/>
      <w:lvlText w:val="%1.%2.%3"/>
      <w:lvlJc w:val="left"/>
      <w:pPr>
        <w:tabs>
          <w:tab w:val="num" w:pos="1134"/>
        </w:tabs>
        <w:ind w:left="1134" w:hanging="1134"/>
      </w:pPr>
      <w:rPr>
        <w:rFonts w:asciiTheme="majorHAnsi" w:hAnsiTheme="majorHAnsi" w:hint="default"/>
        <w:color w:val="59595B" w:themeColor="text2"/>
      </w:rPr>
    </w:lvl>
    <w:lvl w:ilvl="3">
      <w:start w:val="1"/>
      <w:numFmt w:val="decimal"/>
      <w:pStyle w:val="Heading4"/>
      <w:lvlText w:val="%1.%2.%3.%4"/>
      <w:lvlJc w:val="left"/>
      <w:pPr>
        <w:tabs>
          <w:tab w:val="num" w:pos="1134"/>
        </w:tabs>
        <w:ind w:left="1134" w:hanging="1134"/>
      </w:pPr>
      <w:rPr>
        <w:rFonts w:asciiTheme="majorHAnsi" w:hAnsiTheme="majorHAnsi" w:hint="default"/>
        <w:color w:val="59595B" w:themeColor="text2"/>
        <w:sz w:val="20"/>
      </w:rPr>
    </w:lvl>
    <w:lvl w:ilvl="4">
      <w:start w:val="1"/>
      <w:numFmt w:val="decimal"/>
      <w:pStyle w:val="Heading5"/>
      <w:lvlText w:val="%1.%2.%3.%4.%5"/>
      <w:lvlJc w:val="left"/>
      <w:pPr>
        <w:tabs>
          <w:tab w:val="num" w:pos="1134"/>
        </w:tabs>
        <w:ind w:left="1134" w:hanging="1134"/>
      </w:pPr>
      <w:rPr>
        <w:rFonts w:asciiTheme="majorHAnsi" w:hAnsiTheme="majorHAnsi" w:hint="default"/>
        <w:color w:val="59595B" w:themeColor="text2"/>
        <w:sz w:val="18"/>
      </w:rPr>
    </w:lvl>
    <w:lvl w:ilvl="5">
      <w:start w:val="1"/>
      <w:numFmt w:val="none"/>
      <w:lvlText w:val=""/>
      <w:lvlJc w:val="left"/>
      <w:pPr>
        <w:ind w:left="-32767" w:firstLine="0"/>
      </w:pPr>
      <w:rPr>
        <w:rFonts w:hint="default"/>
      </w:rPr>
    </w:lvl>
    <w:lvl w:ilvl="6">
      <w:start w:val="1"/>
      <w:numFmt w:val="upperLetter"/>
      <w:lvlRestart w:val="0"/>
      <w:pStyle w:val="Heading7"/>
      <w:suff w:val="nothing"/>
      <w:lvlText w:val="Appendix %7"/>
      <w:lvlJc w:val="left"/>
      <w:pPr>
        <w:ind w:left="0" w:firstLine="0"/>
      </w:pPr>
      <w:rPr>
        <w:rFonts w:hint="default"/>
      </w:rPr>
    </w:lvl>
    <w:lvl w:ilvl="7">
      <w:start w:val="1"/>
      <w:numFmt w:val="decimal"/>
      <w:pStyle w:val="Heading8"/>
      <w:lvlText w:val="%7-%8"/>
      <w:lvlJc w:val="left"/>
      <w:pPr>
        <w:tabs>
          <w:tab w:val="num" w:pos="1134"/>
        </w:tabs>
        <w:ind w:left="1134" w:hanging="1134"/>
      </w:pPr>
      <w:rPr>
        <w:rFonts w:hint="default"/>
      </w:rPr>
    </w:lvl>
    <w:lvl w:ilvl="8">
      <w:start w:val="1"/>
      <w:numFmt w:val="decimal"/>
      <w:pStyle w:val="Heading9"/>
      <w:lvlText w:val="%7-%8-%9"/>
      <w:lvlJc w:val="left"/>
      <w:pPr>
        <w:tabs>
          <w:tab w:val="num" w:pos="1134"/>
        </w:tabs>
        <w:ind w:left="1134" w:hanging="1134"/>
      </w:pPr>
      <w:rPr>
        <w:rFonts w:hint="default"/>
      </w:rPr>
    </w:lvl>
  </w:abstractNum>
  <w:abstractNum w:abstractNumId="27" w15:restartNumberingAfterBreak="0">
    <w:nsid w:val="412E4F26"/>
    <w:multiLevelType w:val="multilevel"/>
    <w:tmpl w:val="B6708528"/>
    <w:numStyleLink w:val="ListBullet"/>
  </w:abstractNum>
  <w:abstractNum w:abstractNumId="28" w15:restartNumberingAfterBreak="0">
    <w:nsid w:val="43E61248"/>
    <w:multiLevelType w:val="hybridMultilevel"/>
    <w:tmpl w:val="89308500"/>
    <w:lvl w:ilvl="0" w:tplc="FFFFFFFF">
      <w:start w:val="1"/>
      <w:numFmt w:val="lowerLetter"/>
      <w:lvlText w:val="(%1)"/>
      <w:lvlJc w:val="left"/>
      <w:pPr>
        <w:ind w:left="1353"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29" w15:restartNumberingAfterBreak="0">
    <w:nsid w:val="505175A7"/>
    <w:multiLevelType w:val="hybridMultilevel"/>
    <w:tmpl w:val="EB6ABFF4"/>
    <w:lvl w:ilvl="0" w:tplc="7C9ABE66">
      <w:start w:val="1"/>
      <w:numFmt w:val="decimal"/>
      <w:lvlText w:val="(%1)"/>
      <w:lvlJc w:val="left"/>
      <w:pPr>
        <w:ind w:left="360" w:hanging="360"/>
      </w:pPr>
      <w:rPr>
        <w:rFonts w:hint="default"/>
      </w:rPr>
    </w:lvl>
    <w:lvl w:ilvl="1" w:tplc="08090019">
      <w:start w:val="1"/>
      <w:numFmt w:val="lowerLetter"/>
      <w:lvlText w:val="%2."/>
      <w:lvlJc w:val="left"/>
      <w:pPr>
        <w:ind w:left="927"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54D23352"/>
    <w:multiLevelType w:val="multilevel"/>
    <w:tmpl w:val="B6708528"/>
    <w:numStyleLink w:val="ListBullet"/>
  </w:abstractNum>
  <w:abstractNum w:abstractNumId="31" w15:restartNumberingAfterBreak="0">
    <w:nsid w:val="558F05D9"/>
    <w:multiLevelType w:val="hybridMultilevel"/>
    <w:tmpl w:val="6E6EFC4E"/>
    <w:lvl w:ilvl="0" w:tplc="EEC0F41E">
      <w:start w:val="1"/>
      <w:numFmt w:val="lowerLetter"/>
      <w:lvlText w:val="(%1)"/>
      <w:lvlJc w:val="left"/>
      <w:pPr>
        <w:ind w:left="720" w:hanging="360"/>
      </w:pPr>
      <w:rPr>
        <w:rFonts w:hint="default"/>
      </w:rPr>
    </w:lvl>
    <w:lvl w:ilvl="1" w:tplc="03204E78">
      <w:start w:val="1"/>
      <w:numFmt w:val="lowerLetter"/>
      <w:lvlText w:val="(%2)"/>
      <w:lvlJc w:val="right"/>
      <w:pPr>
        <w:ind w:left="1210" w:hanging="360"/>
      </w:pPr>
      <w:rPr>
        <w:rFonts w:asciiTheme="majorHAnsi" w:eastAsiaTheme="majorEastAsia" w:hAnsiTheme="majorHAnsi" w:cstheme="majorBidi"/>
      </w:rPr>
    </w:lvl>
    <w:lvl w:ilvl="2" w:tplc="5088EEBE">
      <w:start w:val="1"/>
      <w:numFmt w:val="lowerLetter"/>
      <w:lvlText w:val="(%3)"/>
      <w:lvlJc w:val="left"/>
      <w:pPr>
        <w:ind w:left="1353"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FC13B69"/>
    <w:multiLevelType w:val="multilevel"/>
    <w:tmpl w:val="B6708528"/>
    <w:numStyleLink w:val="ListBullet"/>
  </w:abstractNum>
  <w:abstractNum w:abstractNumId="33" w15:restartNumberingAfterBreak="0">
    <w:nsid w:val="626E5373"/>
    <w:multiLevelType w:val="multilevel"/>
    <w:tmpl w:val="3832337C"/>
    <w:styleLink w:val="ListTableNumber"/>
    <w:lvl w:ilvl="0">
      <w:start w:val="1"/>
      <w:numFmt w:val="decimal"/>
      <w:pStyle w:val="TableNumber"/>
      <w:lvlText w:val="%1."/>
      <w:lvlJc w:val="left"/>
      <w:pPr>
        <w:tabs>
          <w:tab w:val="num" w:pos="284"/>
        </w:tabs>
        <w:ind w:left="284" w:hanging="284"/>
      </w:pPr>
      <w:rPr>
        <w:rFonts w:asciiTheme="minorHAnsi" w:hAnsiTheme="minorHAnsi" w:hint="default"/>
        <w:b w:val="0"/>
        <w:i w:val="0"/>
        <w:color w:val="auto"/>
        <w:sz w:val="20"/>
        <w:szCs w:val="21"/>
      </w:rPr>
    </w:lvl>
    <w:lvl w:ilvl="1">
      <w:start w:val="1"/>
      <w:numFmt w:val="lowerLetter"/>
      <w:pStyle w:val="TableNumber2"/>
      <w:lvlText w:val="%2."/>
      <w:lvlJc w:val="left"/>
      <w:pPr>
        <w:tabs>
          <w:tab w:val="num" w:pos="567"/>
        </w:tabs>
        <w:ind w:left="567" w:hanging="283"/>
      </w:pPr>
      <w:rPr>
        <w:rFonts w:asciiTheme="minorHAnsi" w:hAnsiTheme="minorHAnsi" w:hint="default"/>
        <w:b w:val="0"/>
        <w:i w:val="0"/>
        <w:color w:val="auto"/>
        <w:sz w:val="20"/>
        <w:szCs w:val="21"/>
      </w:rPr>
    </w:lvl>
    <w:lvl w:ilvl="2">
      <w:start w:val="1"/>
      <w:numFmt w:val="none"/>
      <w:lvlText w:val=""/>
      <w:lvlJc w:val="left"/>
      <w:pPr>
        <w:tabs>
          <w:tab w:val="num" w:pos="0"/>
        </w:tabs>
        <w:ind w:left="0" w:firstLine="0"/>
      </w:pPr>
      <w:rPr>
        <w:rFonts w:ascii="Arial" w:hAnsi="Arial" w:hint="default"/>
        <w:b w:val="0"/>
        <w:i w:val="0"/>
        <w:sz w:val="18"/>
      </w:rPr>
    </w:lvl>
    <w:lvl w:ilvl="3">
      <w:start w:val="1"/>
      <w:numFmt w:val="none"/>
      <w:suff w:val="nothing"/>
      <w:lvlText w:val=""/>
      <w:lvlJc w:val="left"/>
      <w:pPr>
        <w:ind w:left="0" w:firstLine="0"/>
      </w:pPr>
      <w:rPr>
        <w:rFonts w:ascii="Arial" w:hAnsi="Arial" w:hint="default"/>
        <w:b w:val="0"/>
        <w:i w:val="0"/>
        <w:sz w:val="18"/>
      </w:rPr>
    </w:lvl>
    <w:lvl w:ilvl="4">
      <w:start w:val="1"/>
      <w:numFmt w:val="none"/>
      <w:suff w:val="nothing"/>
      <w:lvlText w:val=""/>
      <w:lvlJc w:val="left"/>
      <w:pPr>
        <w:ind w:left="0" w:firstLine="0"/>
      </w:pPr>
      <w:rPr>
        <w:rFonts w:ascii="Arial" w:hAnsi="Arial" w:hint="default"/>
        <w:b w:val="0"/>
        <w:i w:val="0"/>
        <w:sz w:val="18"/>
      </w:rPr>
    </w:lvl>
    <w:lvl w:ilvl="5">
      <w:start w:val="1"/>
      <w:numFmt w:val="none"/>
      <w:suff w:val="nothing"/>
      <w:lvlText w:val=""/>
      <w:lvlJc w:val="left"/>
      <w:pPr>
        <w:ind w:left="0" w:firstLine="0"/>
      </w:pPr>
      <w:rPr>
        <w:rFonts w:ascii="Arial" w:hAnsi="Arial" w:hint="default"/>
        <w:b w:val="0"/>
        <w:i w:val="0"/>
        <w:sz w:val="18"/>
      </w:rPr>
    </w:lvl>
    <w:lvl w:ilvl="6">
      <w:start w:val="1"/>
      <w:numFmt w:val="none"/>
      <w:suff w:val="nothing"/>
      <w:lvlText w:val="%7"/>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suff w:val="nothing"/>
      <w:lvlText w:val="%9"/>
      <w:lvlJc w:val="left"/>
      <w:pPr>
        <w:ind w:left="0" w:firstLine="0"/>
      </w:pPr>
      <w:rPr>
        <w:rFonts w:hint="default"/>
      </w:rPr>
    </w:lvl>
  </w:abstractNum>
  <w:abstractNum w:abstractNumId="34" w15:restartNumberingAfterBreak="0">
    <w:nsid w:val="64C06297"/>
    <w:multiLevelType w:val="hybridMultilevel"/>
    <w:tmpl w:val="FCC84910"/>
    <w:lvl w:ilvl="0" w:tplc="FFFFFFFF">
      <w:start w:val="1"/>
      <w:numFmt w:val="decimal"/>
      <w:lvlText w:val="(%1)"/>
      <w:lvlJc w:val="left"/>
      <w:pPr>
        <w:ind w:left="360" w:hanging="360"/>
      </w:pPr>
      <w:rPr>
        <w:rFonts w:hint="default"/>
      </w:rPr>
    </w:lvl>
    <w:lvl w:ilvl="1" w:tplc="FFFFFFFF">
      <w:start w:val="1"/>
      <w:numFmt w:val="lowerLetter"/>
      <w:lvlText w:val="(%2)"/>
      <w:lvlJc w:val="left"/>
      <w:pPr>
        <w:ind w:left="927"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 w15:restartNumberingAfterBreak="0">
    <w:nsid w:val="651A5A7C"/>
    <w:multiLevelType w:val="multilevel"/>
    <w:tmpl w:val="B6708528"/>
    <w:numStyleLink w:val="ListBullet"/>
  </w:abstractNum>
  <w:abstractNum w:abstractNumId="36" w15:restartNumberingAfterBreak="0">
    <w:nsid w:val="6AE81892"/>
    <w:multiLevelType w:val="hybridMultilevel"/>
    <w:tmpl w:val="89308500"/>
    <w:lvl w:ilvl="0" w:tplc="FFFFFFFF">
      <w:start w:val="1"/>
      <w:numFmt w:val="lowerLetter"/>
      <w:lvlText w:val="(%1)"/>
      <w:lvlJc w:val="left"/>
      <w:pPr>
        <w:ind w:left="1353" w:hanging="360"/>
      </w:pPr>
      <w:rPr>
        <w:rFonts w:hint="default"/>
      </w:rPr>
    </w:lvl>
    <w:lvl w:ilvl="1" w:tplc="FFFFFFFF" w:tentative="1">
      <w:start w:val="1"/>
      <w:numFmt w:val="lowerLetter"/>
      <w:lvlText w:val="%2."/>
      <w:lvlJc w:val="left"/>
      <w:pPr>
        <w:ind w:left="2073" w:hanging="360"/>
      </w:pPr>
    </w:lvl>
    <w:lvl w:ilvl="2" w:tplc="FFFFFFFF" w:tentative="1">
      <w:start w:val="1"/>
      <w:numFmt w:val="lowerRoman"/>
      <w:lvlText w:val="%3."/>
      <w:lvlJc w:val="right"/>
      <w:pPr>
        <w:ind w:left="2793" w:hanging="180"/>
      </w:pPr>
    </w:lvl>
    <w:lvl w:ilvl="3" w:tplc="FFFFFFFF" w:tentative="1">
      <w:start w:val="1"/>
      <w:numFmt w:val="decimal"/>
      <w:lvlText w:val="%4."/>
      <w:lvlJc w:val="left"/>
      <w:pPr>
        <w:ind w:left="3513" w:hanging="360"/>
      </w:pPr>
    </w:lvl>
    <w:lvl w:ilvl="4" w:tplc="FFFFFFFF" w:tentative="1">
      <w:start w:val="1"/>
      <w:numFmt w:val="lowerLetter"/>
      <w:lvlText w:val="%5."/>
      <w:lvlJc w:val="left"/>
      <w:pPr>
        <w:ind w:left="4233" w:hanging="360"/>
      </w:pPr>
    </w:lvl>
    <w:lvl w:ilvl="5" w:tplc="FFFFFFFF" w:tentative="1">
      <w:start w:val="1"/>
      <w:numFmt w:val="lowerRoman"/>
      <w:lvlText w:val="%6."/>
      <w:lvlJc w:val="right"/>
      <w:pPr>
        <w:ind w:left="4953" w:hanging="180"/>
      </w:pPr>
    </w:lvl>
    <w:lvl w:ilvl="6" w:tplc="FFFFFFFF" w:tentative="1">
      <w:start w:val="1"/>
      <w:numFmt w:val="decimal"/>
      <w:lvlText w:val="%7."/>
      <w:lvlJc w:val="left"/>
      <w:pPr>
        <w:ind w:left="5673" w:hanging="360"/>
      </w:pPr>
    </w:lvl>
    <w:lvl w:ilvl="7" w:tplc="FFFFFFFF" w:tentative="1">
      <w:start w:val="1"/>
      <w:numFmt w:val="lowerLetter"/>
      <w:lvlText w:val="%8."/>
      <w:lvlJc w:val="left"/>
      <w:pPr>
        <w:ind w:left="6393" w:hanging="360"/>
      </w:pPr>
    </w:lvl>
    <w:lvl w:ilvl="8" w:tplc="FFFFFFFF" w:tentative="1">
      <w:start w:val="1"/>
      <w:numFmt w:val="lowerRoman"/>
      <w:lvlText w:val="%9."/>
      <w:lvlJc w:val="right"/>
      <w:pPr>
        <w:ind w:left="7113" w:hanging="180"/>
      </w:pPr>
    </w:lvl>
  </w:abstractNum>
  <w:abstractNum w:abstractNumId="37" w15:restartNumberingAfterBreak="0">
    <w:nsid w:val="6CF657C0"/>
    <w:multiLevelType w:val="hybridMultilevel"/>
    <w:tmpl w:val="9C06326C"/>
    <w:lvl w:ilvl="0" w:tplc="529EE77E">
      <w:start w:val="1"/>
      <w:numFmt w:val="lowerLetter"/>
      <w:lvlText w:val="(%1)"/>
      <w:lvlJc w:val="left"/>
      <w:pPr>
        <w:ind w:left="1353" w:hanging="360"/>
      </w:pPr>
      <w:rPr>
        <w:rFonts w:hint="default"/>
      </w:rPr>
    </w:lvl>
    <w:lvl w:ilvl="1" w:tplc="0809001B">
      <w:start w:val="1"/>
      <w:numFmt w:val="lowerRoman"/>
      <w:lvlText w:val="%2."/>
      <w:lvlJc w:val="right"/>
      <w:pPr>
        <w:ind w:left="2073" w:hanging="360"/>
      </w:pPr>
    </w:lvl>
    <w:lvl w:ilvl="2" w:tplc="0C09001B" w:tentative="1">
      <w:start w:val="1"/>
      <w:numFmt w:val="lowerRoman"/>
      <w:lvlText w:val="%3."/>
      <w:lvlJc w:val="right"/>
      <w:pPr>
        <w:ind w:left="2793" w:hanging="180"/>
      </w:pPr>
    </w:lvl>
    <w:lvl w:ilvl="3" w:tplc="0C09000F" w:tentative="1">
      <w:start w:val="1"/>
      <w:numFmt w:val="decimal"/>
      <w:lvlText w:val="%4."/>
      <w:lvlJc w:val="left"/>
      <w:pPr>
        <w:ind w:left="3513" w:hanging="360"/>
      </w:pPr>
    </w:lvl>
    <w:lvl w:ilvl="4" w:tplc="0C090019" w:tentative="1">
      <w:start w:val="1"/>
      <w:numFmt w:val="lowerLetter"/>
      <w:lvlText w:val="%5."/>
      <w:lvlJc w:val="left"/>
      <w:pPr>
        <w:ind w:left="4233" w:hanging="360"/>
      </w:pPr>
    </w:lvl>
    <w:lvl w:ilvl="5" w:tplc="0C09001B" w:tentative="1">
      <w:start w:val="1"/>
      <w:numFmt w:val="lowerRoman"/>
      <w:lvlText w:val="%6."/>
      <w:lvlJc w:val="right"/>
      <w:pPr>
        <w:ind w:left="4953" w:hanging="180"/>
      </w:pPr>
    </w:lvl>
    <w:lvl w:ilvl="6" w:tplc="0C09000F" w:tentative="1">
      <w:start w:val="1"/>
      <w:numFmt w:val="decimal"/>
      <w:lvlText w:val="%7."/>
      <w:lvlJc w:val="left"/>
      <w:pPr>
        <w:ind w:left="5673" w:hanging="360"/>
      </w:pPr>
    </w:lvl>
    <w:lvl w:ilvl="7" w:tplc="0C090019" w:tentative="1">
      <w:start w:val="1"/>
      <w:numFmt w:val="lowerLetter"/>
      <w:lvlText w:val="%8."/>
      <w:lvlJc w:val="left"/>
      <w:pPr>
        <w:ind w:left="6393" w:hanging="360"/>
      </w:pPr>
    </w:lvl>
    <w:lvl w:ilvl="8" w:tplc="0C09001B" w:tentative="1">
      <w:start w:val="1"/>
      <w:numFmt w:val="lowerRoman"/>
      <w:lvlText w:val="%9."/>
      <w:lvlJc w:val="right"/>
      <w:pPr>
        <w:ind w:left="7113" w:hanging="180"/>
      </w:pPr>
    </w:lvl>
  </w:abstractNum>
  <w:abstractNum w:abstractNumId="38" w15:restartNumberingAfterBreak="0">
    <w:nsid w:val="6E562128"/>
    <w:multiLevelType w:val="hybridMultilevel"/>
    <w:tmpl w:val="93B0748C"/>
    <w:lvl w:ilvl="0" w:tplc="DEF6274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3320A82"/>
    <w:multiLevelType w:val="multilevel"/>
    <w:tmpl w:val="885EFBB4"/>
    <w:lvl w:ilvl="0">
      <w:numFmt w:val="decimal"/>
      <w:pStyle w:val="ListParagraph"/>
      <w:lvlText w:val=""/>
      <w:lvlJc w:val="left"/>
    </w:lvl>
    <w:lvl w:ilvl="1">
      <w:numFmt w:val="decimal"/>
      <w:pStyle w:val="ListParagraph2"/>
      <w:lvlText w:val=""/>
      <w:lvlJc w:val="left"/>
    </w:lvl>
    <w:lvl w:ilvl="2">
      <w:numFmt w:val="decimal"/>
      <w:pStyle w:val="ListParagraph3"/>
      <w:lvlText w:val=""/>
      <w:lvlJc w:val="left"/>
    </w:lvl>
    <w:lvl w:ilvl="3">
      <w:numFmt w:val="decimal"/>
      <w:pStyle w:val="ListParagraph4"/>
      <w:lvlText w:val=""/>
      <w:lvlJc w:val="left"/>
    </w:lvl>
    <w:lvl w:ilvl="4">
      <w:numFmt w:val="decimal"/>
      <w:pStyle w:val="ListParagraph5"/>
      <w:lvlText w:val=""/>
      <w:lvlJc w:val="left"/>
    </w:lvl>
    <w:lvl w:ilvl="5">
      <w:numFmt w:val="decimal"/>
      <w:pStyle w:val="ListParagraph6"/>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74B47B8A"/>
    <w:multiLevelType w:val="multilevel"/>
    <w:tmpl w:val="B6708528"/>
    <w:numStyleLink w:val="ListBullet"/>
  </w:abstractNum>
  <w:abstractNum w:abstractNumId="41" w15:restartNumberingAfterBreak="0">
    <w:nsid w:val="76B43AC1"/>
    <w:multiLevelType w:val="multilevel"/>
    <w:tmpl w:val="B670852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76F910E7"/>
    <w:multiLevelType w:val="multilevel"/>
    <w:tmpl w:val="B6708528"/>
    <w:numStyleLink w:val="ListBullet"/>
  </w:abstractNum>
  <w:abstractNum w:abstractNumId="43" w15:restartNumberingAfterBreak="0">
    <w:nsid w:val="7899451B"/>
    <w:multiLevelType w:val="multilevel"/>
    <w:tmpl w:val="B6708528"/>
    <w:numStyleLink w:val="ListBullet"/>
  </w:abstractNum>
  <w:abstractNum w:abstractNumId="44" w15:restartNumberingAfterBreak="0">
    <w:nsid w:val="78D25A44"/>
    <w:multiLevelType w:val="multilevel"/>
    <w:tmpl w:val="9C9A4B58"/>
    <w:lvl w:ilvl="0">
      <w:numFmt w:val="decimal"/>
      <w:pStyle w:val="ListNumber0"/>
      <w:lvlText w:val=""/>
      <w:lvlJc w:val="left"/>
    </w:lvl>
    <w:lvl w:ilvl="1">
      <w:numFmt w:val="decimal"/>
      <w:pStyle w:val="ListNumber2"/>
      <w:lvlText w:val=""/>
      <w:lvlJc w:val="left"/>
    </w:lvl>
    <w:lvl w:ilvl="2">
      <w:numFmt w:val="decimal"/>
      <w:pStyle w:val="ListNumber3"/>
      <w:lvlText w:val=""/>
      <w:lvlJc w:val="left"/>
    </w:lvl>
    <w:lvl w:ilvl="3">
      <w:numFmt w:val="decimal"/>
      <w:pStyle w:val="ListNumber4"/>
      <w:lvlText w:val=""/>
      <w:lvlJc w:val="left"/>
    </w:lvl>
    <w:lvl w:ilvl="4">
      <w:numFmt w:val="decimal"/>
      <w:pStyle w:val="ListNumber5"/>
      <w:lvlText w:val=""/>
      <w:lvlJc w:val="left"/>
    </w:lvl>
    <w:lvl w:ilvl="5">
      <w:numFmt w:val="decimal"/>
      <w:pStyle w:val="ListNumber6"/>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9336153"/>
    <w:multiLevelType w:val="hybridMultilevel"/>
    <w:tmpl w:val="EA72AD5A"/>
    <w:lvl w:ilvl="0" w:tplc="E86AEA6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A1F4923"/>
    <w:multiLevelType w:val="multilevel"/>
    <w:tmpl w:val="AC302630"/>
    <w:lvl w:ilvl="0">
      <w:start w:val="1"/>
      <w:numFmt w:val="bullet"/>
      <w:lvlText w:val=""/>
      <w:lvlJc w:val="left"/>
      <w:pPr>
        <w:tabs>
          <w:tab w:val="num" w:pos="284"/>
        </w:tabs>
        <w:ind w:left="284" w:hanging="284"/>
      </w:pPr>
      <w:rPr>
        <w:rFonts w:ascii="Wingdings" w:hAnsi="Wingdings" w:hint="default"/>
        <w:color w:val="auto"/>
        <w:sz w:val="18"/>
      </w:rPr>
    </w:lvl>
    <w:lvl w:ilvl="1">
      <w:start w:val="1"/>
      <w:numFmt w:val="bullet"/>
      <w:lvlText w:val=""/>
      <w:lvlJc w:val="left"/>
      <w:pPr>
        <w:ind w:left="644" w:hanging="360"/>
      </w:pPr>
      <w:rPr>
        <w:rFonts w:ascii="Symbol" w:hAnsi="Symbol" w:hint="default"/>
        <w:color w:val="F2F2F2" w:themeColor="background2"/>
      </w:rPr>
    </w:lvl>
    <w:lvl w:ilvl="2">
      <w:start w:val="1"/>
      <w:numFmt w:val="none"/>
      <w:lvlText w:val=""/>
      <w:lvlJc w:val="left"/>
      <w:pPr>
        <w:tabs>
          <w:tab w:val="num" w:pos="965"/>
        </w:tabs>
        <w:ind w:left="965" w:hanging="284"/>
      </w:pPr>
      <w:rPr>
        <w:rFonts w:hint="default"/>
        <w:color w:val="000000"/>
      </w:rPr>
    </w:lvl>
    <w:lvl w:ilvl="3">
      <w:start w:val="1"/>
      <w:numFmt w:val="none"/>
      <w:lvlText w:val="%4"/>
      <w:lvlJc w:val="left"/>
      <w:pPr>
        <w:tabs>
          <w:tab w:val="num" w:pos="1249"/>
        </w:tabs>
        <w:ind w:left="1249" w:hanging="284"/>
      </w:pPr>
      <w:rPr>
        <w:rFonts w:hint="default"/>
      </w:rPr>
    </w:lvl>
    <w:lvl w:ilvl="4">
      <w:start w:val="1"/>
      <w:numFmt w:val="none"/>
      <w:lvlText w:val=""/>
      <w:lvlJc w:val="left"/>
      <w:pPr>
        <w:tabs>
          <w:tab w:val="num" w:pos="1533"/>
        </w:tabs>
        <w:ind w:left="1533" w:hanging="284"/>
      </w:pPr>
      <w:rPr>
        <w:rFonts w:hint="default"/>
        <w:color w:val="000000"/>
      </w:rPr>
    </w:lvl>
    <w:lvl w:ilvl="5">
      <w:start w:val="1"/>
      <w:numFmt w:val="none"/>
      <w:lvlText w:val=""/>
      <w:lvlJc w:val="left"/>
      <w:pPr>
        <w:tabs>
          <w:tab w:val="num" w:pos="1817"/>
        </w:tabs>
        <w:ind w:left="1817" w:hanging="284"/>
      </w:pPr>
      <w:rPr>
        <w:rFonts w:hint="default"/>
      </w:rPr>
    </w:lvl>
    <w:lvl w:ilvl="6">
      <w:start w:val="1"/>
      <w:numFmt w:val="none"/>
      <w:lvlText w:val=""/>
      <w:lvlJc w:val="left"/>
      <w:pPr>
        <w:tabs>
          <w:tab w:val="num" w:pos="2101"/>
        </w:tabs>
        <w:ind w:left="2101" w:hanging="284"/>
      </w:pPr>
      <w:rPr>
        <w:rFonts w:hint="default"/>
        <w:color w:val="000000"/>
      </w:rPr>
    </w:lvl>
    <w:lvl w:ilvl="7">
      <w:start w:val="1"/>
      <w:numFmt w:val="none"/>
      <w:lvlText w:val="%8"/>
      <w:lvlJc w:val="left"/>
      <w:pPr>
        <w:tabs>
          <w:tab w:val="num" w:pos="2385"/>
        </w:tabs>
        <w:ind w:left="2385" w:hanging="284"/>
      </w:pPr>
      <w:rPr>
        <w:rFonts w:hint="default"/>
      </w:rPr>
    </w:lvl>
    <w:lvl w:ilvl="8">
      <w:start w:val="1"/>
      <w:numFmt w:val="none"/>
      <w:lvlText w:val=""/>
      <w:lvlJc w:val="left"/>
      <w:pPr>
        <w:tabs>
          <w:tab w:val="num" w:pos="2669"/>
        </w:tabs>
        <w:ind w:left="2669" w:hanging="284"/>
      </w:pPr>
      <w:rPr>
        <w:rFonts w:hint="default"/>
        <w:color w:val="000000"/>
      </w:rPr>
    </w:lvl>
  </w:abstractNum>
  <w:abstractNum w:abstractNumId="47" w15:restartNumberingAfterBreak="0">
    <w:nsid w:val="7CCA1C71"/>
    <w:multiLevelType w:val="multilevel"/>
    <w:tmpl w:val="B6708528"/>
    <w:numStyleLink w:val="ListBullet"/>
  </w:abstractNum>
  <w:abstractNum w:abstractNumId="48" w15:restartNumberingAfterBreak="0">
    <w:nsid w:val="7FA367D7"/>
    <w:multiLevelType w:val="hybridMultilevel"/>
    <w:tmpl w:val="714E1B5A"/>
    <w:lvl w:ilvl="0" w:tplc="81B4427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FDE3C8A"/>
    <w:multiLevelType w:val="multilevel"/>
    <w:tmpl w:val="5BB828AE"/>
    <w:lvl w:ilvl="0">
      <w:numFmt w:val="decimal"/>
      <w:pStyle w:val="ListAlpha0"/>
      <w:lvlText w:val=""/>
      <w:lvlJc w:val="left"/>
    </w:lvl>
    <w:lvl w:ilvl="1">
      <w:numFmt w:val="decimal"/>
      <w:pStyle w:val="ListAlpha2"/>
      <w:lvlText w:val=""/>
      <w:lvlJc w:val="left"/>
    </w:lvl>
    <w:lvl w:ilvl="2">
      <w:numFmt w:val="decimal"/>
      <w:pStyle w:val="ListAlpha3"/>
      <w:lvlText w:val=""/>
      <w:lvlJc w:val="left"/>
    </w:lvl>
    <w:lvl w:ilvl="3">
      <w:numFmt w:val="decimal"/>
      <w:pStyle w:val="ListAlpha4"/>
      <w:lvlText w:val=""/>
      <w:lvlJc w:val="left"/>
    </w:lvl>
    <w:lvl w:ilvl="4">
      <w:numFmt w:val="decimal"/>
      <w:pStyle w:val="ListAlpha5"/>
      <w:lvlText w:val=""/>
      <w:lvlJc w:val="left"/>
    </w:lvl>
    <w:lvl w:ilvl="5">
      <w:numFmt w:val="decimal"/>
      <w:pStyle w:val="ListAlpha6"/>
      <w:lvlText w:val=""/>
      <w:lvlJc w:val="left"/>
    </w:lvl>
    <w:lvl w:ilvl="6">
      <w:numFmt w:val="decimal"/>
      <w:lvlText w:val=""/>
      <w:lvlJc w:val="left"/>
    </w:lvl>
    <w:lvl w:ilvl="7">
      <w:numFmt w:val="decimal"/>
      <w:lvlText w:val=""/>
      <w:lvlJc w:val="left"/>
    </w:lvl>
    <w:lvl w:ilvl="8">
      <w:numFmt w:val="decimal"/>
      <w:lvlText w:val=""/>
      <w:lvlJc w:val="left"/>
    </w:lvl>
  </w:abstractNum>
  <w:num w:numId="1" w16cid:durableId="1817256615">
    <w:abstractNumId w:val="6"/>
  </w:num>
  <w:num w:numId="2" w16cid:durableId="367142799">
    <w:abstractNumId w:val="20"/>
  </w:num>
  <w:num w:numId="3" w16cid:durableId="625819661">
    <w:abstractNumId w:val="15"/>
  </w:num>
  <w:num w:numId="4" w16cid:durableId="600336262">
    <w:abstractNumId w:val="2"/>
  </w:num>
  <w:num w:numId="5" w16cid:durableId="1538590901">
    <w:abstractNumId w:val="41"/>
  </w:num>
  <w:num w:numId="6" w16cid:durableId="2051105422">
    <w:abstractNumId w:val="44"/>
  </w:num>
  <w:num w:numId="7" w16cid:durableId="850802858">
    <w:abstractNumId w:val="49"/>
  </w:num>
  <w:num w:numId="8" w16cid:durableId="602883433">
    <w:abstractNumId w:val="39"/>
  </w:num>
  <w:num w:numId="9" w16cid:durableId="1180967489">
    <w:abstractNumId w:val="3"/>
  </w:num>
  <w:num w:numId="10" w16cid:durableId="184634839">
    <w:abstractNumId w:val="9"/>
  </w:num>
  <w:num w:numId="11" w16cid:durableId="1977567631">
    <w:abstractNumId w:val="33"/>
  </w:num>
  <w:num w:numId="12" w16cid:durableId="559369532">
    <w:abstractNumId w:val="10"/>
  </w:num>
  <w:num w:numId="13" w16cid:durableId="875233525">
    <w:abstractNumId w:val="18"/>
  </w:num>
  <w:num w:numId="14" w16cid:durableId="1304626793">
    <w:abstractNumId w:val="26"/>
  </w:num>
  <w:num w:numId="15" w16cid:durableId="2039357919">
    <w:abstractNumId w:val="26"/>
  </w:num>
  <w:num w:numId="16" w16cid:durableId="1756516699">
    <w:abstractNumId w:val="0"/>
  </w:num>
  <w:num w:numId="17" w16cid:durableId="1240023322">
    <w:abstractNumId w:val="41"/>
    <w:lvlOverride w:ilvl="0">
      <w:lvl w:ilvl="0">
        <w:start w:val="1"/>
        <w:numFmt w:val="bullet"/>
        <w:lvlText w:val=""/>
        <w:lvlJc w:val="left"/>
        <w:pPr>
          <w:tabs>
            <w:tab w:val="num" w:pos="397"/>
          </w:tabs>
          <w:ind w:left="397" w:hanging="397"/>
        </w:pPr>
        <w:rPr>
          <w:rFonts w:ascii="Wingdings" w:hAnsi="Wingdings" w:hint="default"/>
          <w:b w:val="0"/>
          <w:i w:val="0"/>
          <w:color w:val="0278AD" w:themeColor="accent1"/>
          <w:sz w:val="18"/>
          <w:szCs w:val="20"/>
        </w:rPr>
      </w:lvl>
    </w:lvlOverride>
  </w:num>
  <w:num w:numId="18" w16cid:durableId="1106997488">
    <w:abstractNumId w:val="23"/>
  </w:num>
  <w:num w:numId="19" w16cid:durableId="1073503782">
    <w:abstractNumId w:val="10"/>
    <w:lvlOverride w:ilvl="0">
      <w:lvl w:ilvl="0">
        <w:start w:val="1"/>
        <w:numFmt w:val="bullet"/>
        <w:pStyle w:val="TableBullet"/>
        <w:lvlText w:val=""/>
        <w:lvlJc w:val="left"/>
        <w:pPr>
          <w:tabs>
            <w:tab w:val="num" w:pos="284"/>
          </w:tabs>
          <w:ind w:left="284" w:hanging="284"/>
        </w:pPr>
        <w:rPr>
          <w:rFonts w:ascii="Wingdings" w:hAnsi="Wingdings" w:hint="default"/>
          <w:color w:val="FFFFFF" w:themeColor="background1"/>
          <w:sz w:val="18"/>
        </w:rPr>
      </w:lvl>
    </w:lvlOverride>
    <w:lvlOverride w:ilvl="1">
      <w:lvl w:ilvl="1">
        <w:start w:val="1"/>
        <w:numFmt w:val="bullet"/>
        <w:pStyle w:val="TableBullet2"/>
        <w:lvlText w:val="–"/>
        <w:lvlJc w:val="left"/>
        <w:pPr>
          <w:tabs>
            <w:tab w:val="num" w:pos="567"/>
          </w:tabs>
          <w:ind w:left="567" w:hanging="283"/>
        </w:pPr>
        <w:rPr>
          <w:rFonts w:ascii="Arial" w:hAnsi="Arial" w:hint="default"/>
          <w:color w:val="FFFFFF" w:themeColor="background1"/>
        </w:rPr>
      </w:lvl>
    </w:lvlOverride>
  </w:num>
  <w:num w:numId="20" w16cid:durableId="65342273">
    <w:abstractNumId w:val="25"/>
  </w:num>
  <w:num w:numId="21" w16cid:durableId="86078172">
    <w:abstractNumId w:val="46"/>
  </w:num>
  <w:num w:numId="22" w16cid:durableId="20626305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053383763">
    <w:abstractNumId w:val="13"/>
  </w:num>
  <w:num w:numId="24" w16cid:durableId="1541817980">
    <w:abstractNumId w:val="29"/>
  </w:num>
  <w:num w:numId="25" w16cid:durableId="244844515">
    <w:abstractNumId w:val="48"/>
  </w:num>
  <w:num w:numId="26" w16cid:durableId="966470410">
    <w:abstractNumId w:val="14"/>
  </w:num>
  <w:num w:numId="27" w16cid:durableId="267393227">
    <w:abstractNumId w:val="34"/>
  </w:num>
  <w:num w:numId="28" w16cid:durableId="20059460">
    <w:abstractNumId w:val="31"/>
  </w:num>
  <w:num w:numId="29" w16cid:durableId="552010594">
    <w:abstractNumId w:val="45"/>
  </w:num>
  <w:num w:numId="30" w16cid:durableId="1185166077">
    <w:abstractNumId w:val="18"/>
    <w:lvlOverride w:ilvl="0">
      <w:startOverride w:val="1"/>
      <w:lvl w:ilvl="0">
        <w:start w:val="1"/>
        <w:numFmt w:val="decimal"/>
        <w:pStyle w:val="TableNumber"/>
        <w:lvlText w:val="%1."/>
        <w:lvlJc w:val="left"/>
        <w:pPr>
          <w:tabs>
            <w:tab w:val="num" w:pos="284"/>
          </w:tabs>
          <w:ind w:left="284" w:hanging="284"/>
        </w:pPr>
        <w:rPr>
          <w:rFonts w:asciiTheme="minorHAnsi" w:hAnsiTheme="minorHAnsi" w:hint="default"/>
          <w:b w:val="0"/>
          <w:i w:val="0"/>
          <w:color w:val="auto"/>
          <w:sz w:val="20"/>
          <w:szCs w:val="21"/>
        </w:rPr>
      </w:lvl>
    </w:lvlOverride>
    <w:lvlOverride w:ilvl="1">
      <w:startOverride w:val="1"/>
      <w:lvl w:ilvl="1">
        <w:start w:val="1"/>
        <w:numFmt w:val="decimal"/>
        <w:pStyle w:val="TableNumber2"/>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1" w16cid:durableId="101037254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52320947">
    <w:abstractNumId w:val="37"/>
  </w:num>
  <w:num w:numId="33" w16cid:durableId="14153252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84119701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613590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025717223">
    <w:abstractNumId w:val="36"/>
  </w:num>
  <w:num w:numId="37" w16cid:durableId="19380707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74531413">
    <w:abstractNumId w:val="28"/>
  </w:num>
  <w:num w:numId="39" w16cid:durableId="1434325996">
    <w:abstractNumId w:val="5"/>
  </w:num>
  <w:num w:numId="40" w16cid:durableId="545220217">
    <w:abstractNumId w:val="38"/>
  </w:num>
  <w:num w:numId="41" w16cid:durableId="508525962">
    <w:abstractNumId w:val="32"/>
  </w:num>
  <w:num w:numId="42" w16cid:durableId="1781878122">
    <w:abstractNumId w:val="16"/>
  </w:num>
  <w:num w:numId="43" w16cid:durableId="413550200">
    <w:abstractNumId w:val="24"/>
  </w:num>
  <w:num w:numId="44" w16cid:durableId="692263811">
    <w:abstractNumId w:val="22"/>
  </w:num>
  <w:num w:numId="45" w16cid:durableId="538396109">
    <w:abstractNumId w:val="4"/>
  </w:num>
  <w:num w:numId="46" w16cid:durableId="275715302">
    <w:abstractNumId w:val="35"/>
  </w:num>
  <w:num w:numId="47" w16cid:durableId="1466848529">
    <w:abstractNumId w:val="19"/>
  </w:num>
  <w:num w:numId="48" w16cid:durableId="2072268170">
    <w:abstractNumId w:val="47"/>
  </w:num>
  <w:num w:numId="49" w16cid:durableId="1278365186">
    <w:abstractNumId w:val="40"/>
  </w:num>
  <w:num w:numId="50" w16cid:durableId="1605113723">
    <w:abstractNumId w:val="42"/>
  </w:num>
  <w:num w:numId="51" w16cid:durableId="556746966">
    <w:abstractNumId w:val="7"/>
  </w:num>
  <w:num w:numId="52" w16cid:durableId="932979394">
    <w:abstractNumId w:val="17"/>
  </w:num>
  <w:num w:numId="53" w16cid:durableId="1865289177">
    <w:abstractNumId w:val="43"/>
  </w:num>
  <w:num w:numId="54" w16cid:durableId="141967358">
    <w:abstractNumId w:val="27"/>
  </w:num>
  <w:num w:numId="55" w16cid:durableId="1147743259">
    <w:abstractNumId w:val="30"/>
  </w:num>
  <w:num w:numId="56" w16cid:durableId="432288844">
    <w:abstractNumId w:val="8"/>
  </w:num>
  <w:num w:numId="57" w16cid:durableId="2010865550">
    <w:abstractNumId w:val="12"/>
  </w:num>
  <w:num w:numId="58" w16cid:durableId="1145701119">
    <w:abstractNumId w:val="11"/>
  </w:num>
  <w:num w:numId="59" w16cid:durableId="2043092523">
    <w:abstractNumId w:val="1"/>
  </w:num>
  <w:num w:numId="60" w16cid:durableId="1191576780">
    <w:abstractNumId w:val="21"/>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ttachedTemplate r:id="rId1"/>
  <w:defaultTabStop w:val="720"/>
  <w:characterSpacingControl w:val="doNotCompress"/>
  <w:hdrShapeDefaults>
    <o:shapedefaults v:ext="edit" spidmax="2050">
      <o:colormru v:ext="edit" colors="white"/>
      <o:colormenu v:ext="edit" fill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6A9A"/>
    <w:rsid w:val="00006100"/>
    <w:rsid w:val="00010F23"/>
    <w:rsid w:val="000114A3"/>
    <w:rsid w:val="00012298"/>
    <w:rsid w:val="00013E13"/>
    <w:rsid w:val="00014193"/>
    <w:rsid w:val="00021DAF"/>
    <w:rsid w:val="00024167"/>
    <w:rsid w:val="00030889"/>
    <w:rsid w:val="00030F11"/>
    <w:rsid w:val="0003205D"/>
    <w:rsid w:val="000335AE"/>
    <w:rsid w:val="000432ED"/>
    <w:rsid w:val="0004471D"/>
    <w:rsid w:val="00050DF2"/>
    <w:rsid w:val="00050E4E"/>
    <w:rsid w:val="00052E37"/>
    <w:rsid w:val="00054F42"/>
    <w:rsid w:val="00056C95"/>
    <w:rsid w:val="00061C56"/>
    <w:rsid w:val="00062BDE"/>
    <w:rsid w:val="000631FB"/>
    <w:rsid w:val="00063FE0"/>
    <w:rsid w:val="00065907"/>
    <w:rsid w:val="000670E7"/>
    <w:rsid w:val="00067D6A"/>
    <w:rsid w:val="00071C7D"/>
    <w:rsid w:val="000753CF"/>
    <w:rsid w:val="00076F97"/>
    <w:rsid w:val="000837C6"/>
    <w:rsid w:val="00085890"/>
    <w:rsid w:val="000870BB"/>
    <w:rsid w:val="000878CB"/>
    <w:rsid w:val="00087D93"/>
    <w:rsid w:val="00091038"/>
    <w:rsid w:val="00091AC0"/>
    <w:rsid w:val="00092A78"/>
    <w:rsid w:val="00096A96"/>
    <w:rsid w:val="000A09F7"/>
    <w:rsid w:val="000B07F9"/>
    <w:rsid w:val="000B3EBE"/>
    <w:rsid w:val="000B6FA1"/>
    <w:rsid w:val="000C0C22"/>
    <w:rsid w:val="000C1D1E"/>
    <w:rsid w:val="000C20A5"/>
    <w:rsid w:val="000C4458"/>
    <w:rsid w:val="000C615B"/>
    <w:rsid w:val="000D0B30"/>
    <w:rsid w:val="000D1D20"/>
    <w:rsid w:val="000D253B"/>
    <w:rsid w:val="000D65B3"/>
    <w:rsid w:val="000D7A30"/>
    <w:rsid w:val="000E451A"/>
    <w:rsid w:val="000F49A9"/>
    <w:rsid w:val="000F4A35"/>
    <w:rsid w:val="000F4AEF"/>
    <w:rsid w:val="001008B2"/>
    <w:rsid w:val="001063C6"/>
    <w:rsid w:val="00106612"/>
    <w:rsid w:val="00107A7E"/>
    <w:rsid w:val="00113421"/>
    <w:rsid w:val="0012480A"/>
    <w:rsid w:val="001271A5"/>
    <w:rsid w:val="00130C3B"/>
    <w:rsid w:val="0013218E"/>
    <w:rsid w:val="00132EA4"/>
    <w:rsid w:val="0013521E"/>
    <w:rsid w:val="00141155"/>
    <w:rsid w:val="00145CCD"/>
    <w:rsid w:val="001500B6"/>
    <w:rsid w:val="001505D8"/>
    <w:rsid w:val="0015323C"/>
    <w:rsid w:val="001546F7"/>
    <w:rsid w:val="00154790"/>
    <w:rsid w:val="00156423"/>
    <w:rsid w:val="001600E5"/>
    <w:rsid w:val="00164899"/>
    <w:rsid w:val="00170A2B"/>
    <w:rsid w:val="00173F2E"/>
    <w:rsid w:val="0017543F"/>
    <w:rsid w:val="001763D3"/>
    <w:rsid w:val="001829A7"/>
    <w:rsid w:val="00185154"/>
    <w:rsid w:val="0018676B"/>
    <w:rsid w:val="001906FC"/>
    <w:rsid w:val="0019114D"/>
    <w:rsid w:val="00194BF6"/>
    <w:rsid w:val="00195ACF"/>
    <w:rsid w:val="001A32A9"/>
    <w:rsid w:val="001A3422"/>
    <w:rsid w:val="001B1E93"/>
    <w:rsid w:val="001B218B"/>
    <w:rsid w:val="001B21B4"/>
    <w:rsid w:val="001B5760"/>
    <w:rsid w:val="001B5B5D"/>
    <w:rsid w:val="001C319B"/>
    <w:rsid w:val="001C5D39"/>
    <w:rsid w:val="001C7C6C"/>
    <w:rsid w:val="001D4138"/>
    <w:rsid w:val="001D4A1E"/>
    <w:rsid w:val="001D6B94"/>
    <w:rsid w:val="001E0056"/>
    <w:rsid w:val="001E51D4"/>
    <w:rsid w:val="001E52B2"/>
    <w:rsid w:val="001E6399"/>
    <w:rsid w:val="001F0B00"/>
    <w:rsid w:val="001F16CA"/>
    <w:rsid w:val="001F3E15"/>
    <w:rsid w:val="001F7F5C"/>
    <w:rsid w:val="00203F69"/>
    <w:rsid w:val="00204997"/>
    <w:rsid w:val="00204A03"/>
    <w:rsid w:val="00206DB2"/>
    <w:rsid w:val="002078C1"/>
    <w:rsid w:val="002106C4"/>
    <w:rsid w:val="00210DEF"/>
    <w:rsid w:val="00215DC2"/>
    <w:rsid w:val="0021783F"/>
    <w:rsid w:val="0022117F"/>
    <w:rsid w:val="00222215"/>
    <w:rsid w:val="002253B1"/>
    <w:rsid w:val="00232CC4"/>
    <w:rsid w:val="00241357"/>
    <w:rsid w:val="00241D84"/>
    <w:rsid w:val="00242209"/>
    <w:rsid w:val="002445A4"/>
    <w:rsid w:val="00250D85"/>
    <w:rsid w:val="0025119D"/>
    <w:rsid w:val="00251FB2"/>
    <w:rsid w:val="00252201"/>
    <w:rsid w:val="002535D8"/>
    <w:rsid w:val="00254DD8"/>
    <w:rsid w:val="00254E4B"/>
    <w:rsid w:val="0025635E"/>
    <w:rsid w:val="002621E3"/>
    <w:rsid w:val="00265928"/>
    <w:rsid w:val="00267481"/>
    <w:rsid w:val="0027169E"/>
    <w:rsid w:val="00285C17"/>
    <w:rsid w:val="002870C3"/>
    <w:rsid w:val="002878A6"/>
    <w:rsid w:val="002910D6"/>
    <w:rsid w:val="0029272B"/>
    <w:rsid w:val="002A6E3A"/>
    <w:rsid w:val="002B0235"/>
    <w:rsid w:val="002B382C"/>
    <w:rsid w:val="002B4003"/>
    <w:rsid w:val="002B6724"/>
    <w:rsid w:val="002C17CA"/>
    <w:rsid w:val="002C5B1C"/>
    <w:rsid w:val="002C5C2D"/>
    <w:rsid w:val="002D2081"/>
    <w:rsid w:val="002D328E"/>
    <w:rsid w:val="002D4254"/>
    <w:rsid w:val="002D4837"/>
    <w:rsid w:val="002D4E6E"/>
    <w:rsid w:val="002E14F1"/>
    <w:rsid w:val="002E55F9"/>
    <w:rsid w:val="002E5F09"/>
    <w:rsid w:val="002E7752"/>
    <w:rsid w:val="002F008B"/>
    <w:rsid w:val="002F23D2"/>
    <w:rsid w:val="002F4862"/>
    <w:rsid w:val="002F4A6D"/>
    <w:rsid w:val="00301893"/>
    <w:rsid w:val="003019BA"/>
    <w:rsid w:val="00304CB9"/>
    <w:rsid w:val="0030697A"/>
    <w:rsid w:val="00311141"/>
    <w:rsid w:val="00312EB9"/>
    <w:rsid w:val="00314E2E"/>
    <w:rsid w:val="00316C4F"/>
    <w:rsid w:val="00317F07"/>
    <w:rsid w:val="00321E6D"/>
    <w:rsid w:val="00335EAD"/>
    <w:rsid w:val="0033780B"/>
    <w:rsid w:val="00340E42"/>
    <w:rsid w:val="003411DD"/>
    <w:rsid w:val="00341937"/>
    <w:rsid w:val="0034487D"/>
    <w:rsid w:val="00345509"/>
    <w:rsid w:val="00347836"/>
    <w:rsid w:val="00354FB8"/>
    <w:rsid w:val="003626BF"/>
    <w:rsid w:val="003652EB"/>
    <w:rsid w:val="00366859"/>
    <w:rsid w:val="003701F0"/>
    <w:rsid w:val="003718BF"/>
    <w:rsid w:val="0037398C"/>
    <w:rsid w:val="0037618F"/>
    <w:rsid w:val="0037665F"/>
    <w:rsid w:val="00380846"/>
    <w:rsid w:val="003853C1"/>
    <w:rsid w:val="00392BB9"/>
    <w:rsid w:val="00392EFD"/>
    <w:rsid w:val="00395C8E"/>
    <w:rsid w:val="003A04C1"/>
    <w:rsid w:val="003A08A5"/>
    <w:rsid w:val="003A4B3B"/>
    <w:rsid w:val="003A50B9"/>
    <w:rsid w:val="003A79F4"/>
    <w:rsid w:val="003B0945"/>
    <w:rsid w:val="003B097F"/>
    <w:rsid w:val="003B3761"/>
    <w:rsid w:val="003B46FE"/>
    <w:rsid w:val="003B4DCF"/>
    <w:rsid w:val="003B6102"/>
    <w:rsid w:val="003C0326"/>
    <w:rsid w:val="003C0ECD"/>
    <w:rsid w:val="003C27D4"/>
    <w:rsid w:val="003C3335"/>
    <w:rsid w:val="003C5716"/>
    <w:rsid w:val="003D0263"/>
    <w:rsid w:val="003D2E14"/>
    <w:rsid w:val="003D3B71"/>
    <w:rsid w:val="003D56AF"/>
    <w:rsid w:val="003D6475"/>
    <w:rsid w:val="003E1EF3"/>
    <w:rsid w:val="003E5319"/>
    <w:rsid w:val="003E7CC5"/>
    <w:rsid w:val="003F2629"/>
    <w:rsid w:val="003F67D9"/>
    <w:rsid w:val="00402A45"/>
    <w:rsid w:val="00404615"/>
    <w:rsid w:val="004055A0"/>
    <w:rsid w:val="00407776"/>
    <w:rsid w:val="00411F8F"/>
    <w:rsid w:val="00423536"/>
    <w:rsid w:val="00424BC6"/>
    <w:rsid w:val="00426452"/>
    <w:rsid w:val="00426860"/>
    <w:rsid w:val="00427353"/>
    <w:rsid w:val="00432E9A"/>
    <w:rsid w:val="00434758"/>
    <w:rsid w:val="0043564D"/>
    <w:rsid w:val="0043628A"/>
    <w:rsid w:val="0043741C"/>
    <w:rsid w:val="00437761"/>
    <w:rsid w:val="00441C4E"/>
    <w:rsid w:val="00441E11"/>
    <w:rsid w:val="00444AE6"/>
    <w:rsid w:val="00445E66"/>
    <w:rsid w:val="004478FD"/>
    <w:rsid w:val="004529D3"/>
    <w:rsid w:val="004533AF"/>
    <w:rsid w:val="00454346"/>
    <w:rsid w:val="004566CA"/>
    <w:rsid w:val="00456CAC"/>
    <w:rsid w:val="00464276"/>
    <w:rsid w:val="004700B3"/>
    <w:rsid w:val="00471069"/>
    <w:rsid w:val="00475DDD"/>
    <w:rsid w:val="00476357"/>
    <w:rsid w:val="004776E5"/>
    <w:rsid w:val="00480786"/>
    <w:rsid w:val="00481BA3"/>
    <w:rsid w:val="004850F5"/>
    <w:rsid w:val="00491C59"/>
    <w:rsid w:val="0049226E"/>
    <w:rsid w:val="004A034B"/>
    <w:rsid w:val="004A066F"/>
    <w:rsid w:val="004A1BD6"/>
    <w:rsid w:val="004A5B22"/>
    <w:rsid w:val="004A65A5"/>
    <w:rsid w:val="004B7DAE"/>
    <w:rsid w:val="004C3A14"/>
    <w:rsid w:val="004C505E"/>
    <w:rsid w:val="004C6148"/>
    <w:rsid w:val="004D0255"/>
    <w:rsid w:val="004E5FAC"/>
    <w:rsid w:val="004E79A4"/>
    <w:rsid w:val="004F2A3C"/>
    <w:rsid w:val="004F390B"/>
    <w:rsid w:val="004F3D6F"/>
    <w:rsid w:val="00500015"/>
    <w:rsid w:val="005071E2"/>
    <w:rsid w:val="0051056D"/>
    <w:rsid w:val="00511533"/>
    <w:rsid w:val="00515FD7"/>
    <w:rsid w:val="00521270"/>
    <w:rsid w:val="00523FDE"/>
    <w:rsid w:val="005243D5"/>
    <w:rsid w:val="00525B84"/>
    <w:rsid w:val="00526BE7"/>
    <w:rsid w:val="005331C9"/>
    <w:rsid w:val="0055219D"/>
    <w:rsid w:val="005532AA"/>
    <w:rsid w:val="0055353F"/>
    <w:rsid w:val="00555B8B"/>
    <w:rsid w:val="0056633F"/>
    <w:rsid w:val="00566E97"/>
    <w:rsid w:val="00567685"/>
    <w:rsid w:val="00567EAA"/>
    <w:rsid w:val="005710AB"/>
    <w:rsid w:val="005713E5"/>
    <w:rsid w:val="00573B7E"/>
    <w:rsid w:val="00573BD2"/>
    <w:rsid w:val="00577608"/>
    <w:rsid w:val="00580FE3"/>
    <w:rsid w:val="00585E04"/>
    <w:rsid w:val="00586024"/>
    <w:rsid w:val="00590B24"/>
    <w:rsid w:val="00594B04"/>
    <w:rsid w:val="005A005B"/>
    <w:rsid w:val="005A18AB"/>
    <w:rsid w:val="005A33E2"/>
    <w:rsid w:val="005A435A"/>
    <w:rsid w:val="005A6C8F"/>
    <w:rsid w:val="005A7F9E"/>
    <w:rsid w:val="005B0C40"/>
    <w:rsid w:val="005B174C"/>
    <w:rsid w:val="005C1708"/>
    <w:rsid w:val="005C33DE"/>
    <w:rsid w:val="005C53FD"/>
    <w:rsid w:val="005C640D"/>
    <w:rsid w:val="005C69F4"/>
    <w:rsid w:val="005C6B69"/>
    <w:rsid w:val="005D620B"/>
    <w:rsid w:val="005E1096"/>
    <w:rsid w:val="005E1E26"/>
    <w:rsid w:val="005E259B"/>
    <w:rsid w:val="005E417D"/>
    <w:rsid w:val="005E5D2E"/>
    <w:rsid w:val="005F044D"/>
    <w:rsid w:val="005F0974"/>
    <w:rsid w:val="005F0BF3"/>
    <w:rsid w:val="005F5CCC"/>
    <w:rsid w:val="006025ED"/>
    <w:rsid w:val="0061089F"/>
    <w:rsid w:val="0061095D"/>
    <w:rsid w:val="00612D4E"/>
    <w:rsid w:val="00614E16"/>
    <w:rsid w:val="00615155"/>
    <w:rsid w:val="00617D19"/>
    <w:rsid w:val="00625FB5"/>
    <w:rsid w:val="006310BA"/>
    <w:rsid w:val="00631435"/>
    <w:rsid w:val="0063225B"/>
    <w:rsid w:val="00633235"/>
    <w:rsid w:val="0063751E"/>
    <w:rsid w:val="00640BE0"/>
    <w:rsid w:val="00643DA8"/>
    <w:rsid w:val="006467B2"/>
    <w:rsid w:val="00652A9A"/>
    <w:rsid w:val="0065325A"/>
    <w:rsid w:val="00653321"/>
    <w:rsid w:val="006572F0"/>
    <w:rsid w:val="006605C5"/>
    <w:rsid w:val="00662C61"/>
    <w:rsid w:val="00662FF9"/>
    <w:rsid w:val="0066524A"/>
    <w:rsid w:val="00665F4D"/>
    <w:rsid w:val="00666273"/>
    <w:rsid w:val="00671492"/>
    <w:rsid w:val="00673761"/>
    <w:rsid w:val="00674316"/>
    <w:rsid w:val="0067464C"/>
    <w:rsid w:val="00676479"/>
    <w:rsid w:val="00681F61"/>
    <w:rsid w:val="00682499"/>
    <w:rsid w:val="00682821"/>
    <w:rsid w:val="00684E74"/>
    <w:rsid w:val="0068580B"/>
    <w:rsid w:val="00692717"/>
    <w:rsid w:val="00694DB2"/>
    <w:rsid w:val="00696A67"/>
    <w:rsid w:val="006977BC"/>
    <w:rsid w:val="006A1801"/>
    <w:rsid w:val="006A30A3"/>
    <w:rsid w:val="006A5B2E"/>
    <w:rsid w:val="006B33D7"/>
    <w:rsid w:val="006C38C8"/>
    <w:rsid w:val="006D0136"/>
    <w:rsid w:val="006D0E3F"/>
    <w:rsid w:val="006D22C5"/>
    <w:rsid w:val="006D36DB"/>
    <w:rsid w:val="006D7999"/>
    <w:rsid w:val="006E2D8C"/>
    <w:rsid w:val="006E3C18"/>
    <w:rsid w:val="006E64C3"/>
    <w:rsid w:val="006F27A6"/>
    <w:rsid w:val="006F60B1"/>
    <w:rsid w:val="00700A4E"/>
    <w:rsid w:val="007057D6"/>
    <w:rsid w:val="007075B3"/>
    <w:rsid w:val="007279FD"/>
    <w:rsid w:val="007314EE"/>
    <w:rsid w:val="00732853"/>
    <w:rsid w:val="00741BBF"/>
    <w:rsid w:val="00747711"/>
    <w:rsid w:val="00753396"/>
    <w:rsid w:val="00753B4F"/>
    <w:rsid w:val="00762175"/>
    <w:rsid w:val="00763F4B"/>
    <w:rsid w:val="00763F61"/>
    <w:rsid w:val="00764AE8"/>
    <w:rsid w:val="00766B85"/>
    <w:rsid w:val="0076705C"/>
    <w:rsid w:val="00770BF1"/>
    <w:rsid w:val="00770D8F"/>
    <w:rsid w:val="00774E81"/>
    <w:rsid w:val="00775B50"/>
    <w:rsid w:val="00776D1E"/>
    <w:rsid w:val="007816CD"/>
    <w:rsid w:val="0078378F"/>
    <w:rsid w:val="00784064"/>
    <w:rsid w:val="00784190"/>
    <w:rsid w:val="0078437D"/>
    <w:rsid w:val="00784967"/>
    <w:rsid w:val="00787208"/>
    <w:rsid w:val="00790320"/>
    <w:rsid w:val="00792B38"/>
    <w:rsid w:val="00792FE1"/>
    <w:rsid w:val="007944F2"/>
    <w:rsid w:val="0079632C"/>
    <w:rsid w:val="007A3833"/>
    <w:rsid w:val="007A5346"/>
    <w:rsid w:val="007A5939"/>
    <w:rsid w:val="007A77CD"/>
    <w:rsid w:val="007A787C"/>
    <w:rsid w:val="007B14DF"/>
    <w:rsid w:val="007B1565"/>
    <w:rsid w:val="007B21F8"/>
    <w:rsid w:val="007B2EB9"/>
    <w:rsid w:val="007B61FD"/>
    <w:rsid w:val="007C0F61"/>
    <w:rsid w:val="007C6976"/>
    <w:rsid w:val="007D1864"/>
    <w:rsid w:val="007D273C"/>
    <w:rsid w:val="007E0DC9"/>
    <w:rsid w:val="007E308A"/>
    <w:rsid w:val="007F0BC2"/>
    <w:rsid w:val="007F1F71"/>
    <w:rsid w:val="007F2DA9"/>
    <w:rsid w:val="007F5491"/>
    <w:rsid w:val="007F7EAA"/>
    <w:rsid w:val="00803750"/>
    <w:rsid w:val="00811E08"/>
    <w:rsid w:val="008174E8"/>
    <w:rsid w:val="00822503"/>
    <w:rsid w:val="00824ACF"/>
    <w:rsid w:val="008263D3"/>
    <w:rsid w:val="00832791"/>
    <w:rsid w:val="00836B10"/>
    <w:rsid w:val="00841A15"/>
    <w:rsid w:val="00845732"/>
    <w:rsid w:val="00853402"/>
    <w:rsid w:val="008548C0"/>
    <w:rsid w:val="008572D9"/>
    <w:rsid w:val="00861E13"/>
    <w:rsid w:val="008647EF"/>
    <w:rsid w:val="00864D83"/>
    <w:rsid w:val="0087245C"/>
    <w:rsid w:val="008728C8"/>
    <w:rsid w:val="00873FF4"/>
    <w:rsid w:val="00883D13"/>
    <w:rsid w:val="00884425"/>
    <w:rsid w:val="00884A10"/>
    <w:rsid w:val="00885763"/>
    <w:rsid w:val="00887878"/>
    <w:rsid w:val="00890D51"/>
    <w:rsid w:val="00892496"/>
    <w:rsid w:val="00892FBE"/>
    <w:rsid w:val="0089407F"/>
    <w:rsid w:val="008949F5"/>
    <w:rsid w:val="00896678"/>
    <w:rsid w:val="008A2DC4"/>
    <w:rsid w:val="008A40B4"/>
    <w:rsid w:val="008A478B"/>
    <w:rsid w:val="008A6F22"/>
    <w:rsid w:val="008B0C08"/>
    <w:rsid w:val="008B12DE"/>
    <w:rsid w:val="008B5D8F"/>
    <w:rsid w:val="008B609F"/>
    <w:rsid w:val="008C03C6"/>
    <w:rsid w:val="008C3895"/>
    <w:rsid w:val="008D23D6"/>
    <w:rsid w:val="008D5B1E"/>
    <w:rsid w:val="008E0933"/>
    <w:rsid w:val="008E3A8D"/>
    <w:rsid w:val="008E557B"/>
    <w:rsid w:val="008E5DA2"/>
    <w:rsid w:val="008E7C7D"/>
    <w:rsid w:val="008F0576"/>
    <w:rsid w:val="008F4E0B"/>
    <w:rsid w:val="008F78EC"/>
    <w:rsid w:val="009041FC"/>
    <w:rsid w:val="009042FF"/>
    <w:rsid w:val="009060FB"/>
    <w:rsid w:val="00907866"/>
    <w:rsid w:val="009112B4"/>
    <w:rsid w:val="0091241A"/>
    <w:rsid w:val="00913C89"/>
    <w:rsid w:val="00916401"/>
    <w:rsid w:val="00923D15"/>
    <w:rsid w:val="00924770"/>
    <w:rsid w:val="00924B32"/>
    <w:rsid w:val="00926794"/>
    <w:rsid w:val="009315A7"/>
    <w:rsid w:val="0093486B"/>
    <w:rsid w:val="0094168C"/>
    <w:rsid w:val="00941CC1"/>
    <w:rsid w:val="00942103"/>
    <w:rsid w:val="0094342B"/>
    <w:rsid w:val="009453E1"/>
    <w:rsid w:val="00950501"/>
    <w:rsid w:val="00950E37"/>
    <w:rsid w:val="00953471"/>
    <w:rsid w:val="0095560F"/>
    <w:rsid w:val="009571D7"/>
    <w:rsid w:val="009623F5"/>
    <w:rsid w:val="009703DD"/>
    <w:rsid w:val="00983148"/>
    <w:rsid w:val="00983B48"/>
    <w:rsid w:val="00987A23"/>
    <w:rsid w:val="00991D22"/>
    <w:rsid w:val="009923EA"/>
    <w:rsid w:val="00995E68"/>
    <w:rsid w:val="009963CF"/>
    <w:rsid w:val="009975F0"/>
    <w:rsid w:val="009A199C"/>
    <w:rsid w:val="009A2E8B"/>
    <w:rsid w:val="009A4080"/>
    <w:rsid w:val="009A653C"/>
    <w:rsid w:val="009A731B"/>
    <w:rsid w:val="009B0F34"/>
    <w:rsid w:val="009B1442"/>
    <w:rsid w:val="009B2140"/>
    <w:rsid w:val="009B2A10"/>
    <w:rsid w:val="009B7AD7"/>
    <w:rsid w:val="009C3E17"/>
    <w:rsid w:val="009C3E20"/>
    <w:rsid w:val="009C5D74"/>
    <w:rsid w:val="009D670A"/>
    <w:rsid w:val="009E055B"/>
    <w:rsid w:val="009F566A"/>
    <w:rsid w:val="009F6CE7"/>
    <w:rsid w:val="00A02BFE"/>
    <w:rsid w:val="00A03815"/>
    <w:rsid w:val="00A05659"/>
    <w:rsid w:val="00A07960"/>
    <w:rsid w:val="00A14E1F"/>
    <w:rsid w:val="00A17F6A"/>
    <w:rsid w:val="00A239D0"/>
    <w:rsid w:val="00A2461A"/>
    <w:rsid w:val="00A3237E"/>
    <w:rsid w:val="00A37448"/>
    <w:rsid w:val="00A41250"/>
    <w:rsid w:val="00A41D4E"/>
    <w:rsid w:val="00A435F7"/>
    <w:rsid w:val="00A51FAF"/>
    <w:rsid w:val="00A52A8F"/>
    <w:rsid w:val="00A53625"/>
    <w:rsid w:val="00A55155"/>
    <w:rsid w:val="00A55EEF"/>
    <w:rsid w:val="00A566D4"/>
    <w:rsid w:val="00A631EA"/>
    <w:rsid w:val="00A6320C"/>
    <w:rsid w:val="00A640FF"/>
    <w:rsid w:val="00A651CC"/>
    <w:rsid w:val="00A6698F"/>
    <w:rsid w:val="00A6763C"/>
    <w:rsid w:val="00A750CE"/>
    <w:rsid w:val="00A76CFC"/>
    <w:rsid w:val="00A824CF"/>
    <w:rsid w:val="00A83957"/>
    <w:rsid w:val="00A83B38"/>
    <w:rsid w:val="00A851CA"/>
    <w:rsid w:val="00A9403A"/>
    <w:rsid w:val="00A97817"/>
    <w:rsid w:val="00A97C9D"/>
    <w:rsid w:val="00AA0127"/>
    <w:rsid w:val="00AA1D83"/>
    <w:rsid w:val="00AA1E12"/>
    <w:rsid w:val="00AA6010"/>
    <w:rsid w:val="00AB3B28"/>
    <w:rsid w:val="00AB491E"/>
    <w:rsid w:val="00AB5915"/>
    <w:rsid w:val="00AB7E9F"/>
    <w:rsid w:val="00AD0649"/>
    <w:rsid w:val="00AD259F"/>
    <w:rsid w:val="00AD3347"/>
    <w:rsid w:val="00AD3C07"/>
    <w:rsid w:val="00AD6008"/>
    <w:rsid w:val="00AD680D"/>
    <w:rsid w:val="00AD6EC2"/>
    <w:rsid w:val="00AE06EE"/>
    <w:rsid w:val="00AE4C26"/>
    <w:rsid w:val="00AF09A2"/>
    <w:rsid w:val="00AF1366"/>
    <w:rsid w:val="00AF2204"/>
    <w:rsid w:val="00AF34DF"/>
    <w:rsid w:val="00B012F3"/>
    <w:rsid w:val="00B06F86"/>
    <w:rsid w:val="00B0732F"/>
    <w:rsid w:val="00B07D58"/>
    <w:rsid w:val="00B10FB1"/>
    <w:rsid w:val="00B110CB"/>
    <w:rsid w:val="00B1273F"/>
    <w:rsid w:val="00B208A4"/>
    <w:rsid w:val="00B20BEF"/>
    <w:rsid w:val="00B32055"/>
    <w:rsid w:val="00B32A91"/>
    <w:rsid w:val="00B361C4"/>
    <w:rsid w:val="00B3685A"/>
    <w:rsid w:val="00B43445"/>
    <w:rsid w:val="00B43D9E"/>
    <w:rsid w:val="00B45246"/>
    <w:rsid w:val="00B50ED6"/>
    <w:rsid w:val="00B53493"/>
    <w:rsid w:val="00B55D18"/>
    <w:rsid w:val="00B56CC8"/>
    <w:rsid w:val="00B65281"/>
    <w:rsid w:val="00B668FB"/>
    <w:rsid w:val="00B701C1"/>
    <w:rsid w:val="00B71FE9"/>
    <w:rsid w:val="00B752C3"/>
    <w:rsid w:val="00B76B8E"/>
    <w:rsid w:val="00B84D6C"/>
    <w:rsid w:val="00B924EC"/>
    <w:rsid w:val="00B92B1C"/>
    <w:rsid w:val="00B92F36"/>
    <w:rsid w:val="00B93B38"/>
    <w:rsid w:val="00BA0422"/>
    <w:rsid w:val="00BA45AE"/>
    <w:rsid w:val="00BA4F4A"/>
    <w:rsid w:val="00BA66AD"/>
    <w:rsid w:val="00BA690B"/>
    <w:rsid w:val="00BB3A62"/>
    <w:rsid w:val="00BB4F1F"/>
    <w:rsid w:val="00BB7135"/>
    <w:rsid w:val="00BC2DD3"/>
    <w:rsid w:val="00BC67B1"/>
    <w:rsid w:val="00BC6CAE"/>
    <w:rsid w:val="00BD3314"/>
    <w:rsid w:val="00BD77FF"/>
    <w:rsid w:val="00BD78EE"/>
    <w:rsid w:val="00BD7CF3"/>
    <w:rsid w:val="00BE16D4"/>
    <w:rsid w:val="00BE399F"/>
    <w:rsid w:val="00BE40DD"/>
    <w:rsid w:val="00BF2806"/>
    <w:rsid w:val="00BF2C53"/>
    <w:rsid w:val="00BF678F"/>
    <w:rsid w:val="00C000C3"/>
    <w:rsid w:val="00C003DA"/>
    <w:rsid w:val="00C00797"/>
    <w:rsid w:val="00C02E60"/>
    <w:rsid w:val="00C04A5F"/>
    <w:rsid w:val="00C06764"/>
    <w:rsid w:val="00C10095"/>
    <w:rsid w:val="00C10283"/>
    <w:rsid w:val="00C13583"/>
    <w:rsid w:val="00C20083"/>
    <w:rsid w:val="00C240FD"/>
    <w:rsid w:val="00C24374"/>
    <w:rsid w:val="00C302EF"/>
    <w:rsid w:val="00C30D15"/>
    <w:rsid w:val="00C34190"/>
    <w:rsid w:val="00C374AA"/>
    <w:rsid w:val="00C438C5"/>
    <w:rsid w:val="00C54250"/>
    <w:rsid w:val="00C544B5"/>
    <w:rsid w:val="00C557E7"/>
    <w:rsid w:val="00C56886"/>
    <w:rsid w:val="00C645B8"/>
    <w:rsid w:val="00C65FC8"/>
    <w:rsid w:val="00C67BA7"/>
    <w:rsid w:val="00C70084"/>
    <w:rsid w:val="00C74C53"/>
    <w:rsid w:val="00C77E86"/>
    <w:rsid w:val="00C82555"/>
    <w:rsid w:val="00C8269E"/>
    <w:rsid w:val="00C82E6B"/>
    <w:rsid w:val="00C93BA4"/>
    <w:rsid w:val="00C943AC"/>
    <w:rsid w:val="00C94E21"/>
    <w:rsid w:val="00C97431"/>
    <w:rsid w:val="00CA4ED9"/>
    <w:rsid w:val="00CA538E"/>
    <w:rsid w:val="00CA6913"/>
    <w:rsid w:val="00CB2877"/>
    <w:rsid w:val="00CB4785"/>
    <w:rsid w:val="00CC69B0"/>
    <w:rsid w:val="00CC6DE9"/>
    <w:rsid w:val="00CC7A35"/>
    <w:rsid w:val="00CD4C64"/>
    <w:rsid w:val="00CD54D7"/>
    <w:rsid w:val="00CD6BF5"/>
    <w:rsid w:val="00CE4C5E"/>
    <w:rsid w:val="00CE4E0A"/>
    <w:rsid w:val="00CE6CA8"/>
    <w:rsid w:val="00CF1A88"/>
    <w:rsid w:val="00CF25FD"/>
    <w:rsid w:val="00CF31A7"/>
    <w:rsid w:val="00D03983"/>
    <w:rsid w:val="00D10646"/>
    <w:rsid w:val="00D146B7"/>
    <w:rsid w:val="00D15989"/>
    <w:rsid w:val="00D21EC4"/>
    <w:rsid w:val="00D241D3"/>
    <w:rsid w:val="00D253E1"/>
    <w:rsid w:val="00D275EC"/>
    <w:rsid w:val="00D27FA8"/>
    <w:rsid w:val="00D317C1"/>
    <w:rsid w:val="00D32CDD"/>
    <w:rsid w:val="00D365D3"/>
    <w:rsid w:val="00D42F7B"/>
    <w:rsid w:val="00D452A9"/>
    <w:rsid w:val="00D53F11"/>
    <w:rsid w:val="00D55089"/>
    <w:rsid w:val="00D5521E"/>
    <w:rsid w:val="00D56EB0"/>
    <w:rsid w:val="00D60802"/>
    <w:rsid w:val="00D6221A"/>
    <w:rsid w:val="00D628BE"/>
    <w:rsid w:val="00D630C3"/>
    <w:rsid w:val="00D64D7E"/>
    <w:rsid w:val="00D65408"/>
    <w:rsid w:val="00D65684"/>
    <w:rsid w:val="00D65E77"/>
    <w:rsid w:val="00D661AA"/>
    <w:rsid w:val="00D74695"/>
    <w:rsid w:val="00D7542F"/>
    <w:rsid w:val="00D84A1F"/>
    <w:rsid w:val="00D85957"/>
    <w:rsid w:val="00DA4A20"/>
    <w:rsid w:val="00DA5B27"/>
    <w:rsid w:val="00DA76FA"/>
    <w:rsid w:val="00DB2B49"/>
    <w:rsid w:val="00DB6013"/>
    <w:rsid w:val="00DB65C8"/>
    <w:rsid w:val="00DC28FE"/>
    <w:rsid w:val="00DC290C"/>
    <w:rsid w:val="00DC33B4"/>
    <w:rsid w:val="00DC6E29"/>
    <w:rsid w:val="00DC6E6A"/>
    <w:rsid w:val="00DD1A91"/>
    <w:rsid w:val="00DD4656"/>
    <w:rsid w:val="00DE3549"/>
    <w:rsid w:val="00DF01DF"/>
    <w:rsid w:val="00DF0373"/>
    <w:rsid w:val="00E018FB"/>
    <w:rsid w:val="00E1250F"/>
    <w:rsid w:val="00E135C8"/>
    <w:rsid w:val="00E14D91"/>
    <w:rsid w:val="00E203D5"/>
    <w:rsid w:val="00E21DC0"/>
    <w:rsid w:val="00E327D6"/>
    <w:rsid w:val="00E36FE5"/>
    <w:rsid w:val="00E372A0"/>
    <w:rsid w:val="00E408B0"/>
    <w:rsid w:val="00E504D3"/>
    <w:rsid w:val="00E511E2"/>
    <w:rsid w:val="00E568E6"/>
    <w:rsid w:val="00E61433"/>
    <w:rsid w:val="00E642A9"/>
    <w:rsid w:val="00E6763B"/>
    <w:rsid w:val="00E7083B"/>
    <w:rsid w:val="00E72FF6"/>
    <w:rsid w:val="00E75228"/>
    <w:rsid w:val="00E77582"/>
    <w:rsid w:val="00E85716"/>
    <w:rsid w:val="00E95C3A"/>
    <w:rsid w:val="00E964E1"/>
    <w:rsid w:val="00EA52A0"/>
    <w:rsid w:val="00EB1606"/>
    <w:rsid w:val="00EB16B4"/>
    <w:rsid w:val="00EB45A7"/>
    <w:rsid w:val="00EB4F1D"/>
    <w:rsid w:val="00EB58BD"/>
    <w:rsid w:val="00EC03A8"/>
    <w:rsid w:val="00EC0FFC"/>
    <w:rsid w:val="00EC40A6"/>
    <w:rsid w:val="00EC4E4D"/>
    <w:rsid w:val="00ED2E33"/>
    <w:rsid w:val="00ED3024"/>
    <w:rsid w:val="00ED71B6"/>
    <w:rsid w:val="00EE105F"/>
    <w:rsid w:val="00EE3192"/>
    <w:rsid w:val="00EE5474"/>
    <w:rsid w:val="00EE6CD4"/>
    <w:rsid w:val="00EF0E10"/>
    <w:rsid w:val="00EF2076"/>
    <w:rsid w:val="00EF26C2"/>
    <w:rsid w:val="00EF2AFB"/>
    <w:rsid w:val="00EF7DFC"/>
    <w:rsid w:val="00F0141E"/>
    <w:rsid w:val="00F01BCC"/>
    <w:rsid w:val="00F0337D"/>
    <w:rsid w:val="00F044BD"/>
    <w:rsid w:val="00F05EE3"/>
    <w:rsid w:val="00F06359"/>
    <w:rsid w:val="00F07BE7"/>
    <w:rsid w:val="00F1209C"/>
    <w:rsid w:val="00F2220B"/>
    <w:rsid w:val="00F238FB"/>
    <w:rsid w:val="00F27CC2"/>
    <w:rsid w:val="00F30581"/>
    <w:rsid w:val="00F3375D"/>
    <w:rsid w:val="00F33D5C"/>
    <w:rsid w:val="00F3536D"/>
    <w:rsid w:val="00F36A9A"/>
    <w:rsid w:val="00F36F4E"/>
    <w:rsid w:val="00F431FB"/>
    <w:rsid w:val="00F450E5"/>
    <w:rsid w:val="00F51844"/>
    <w:rsid w:val="00F53ACB"/>
    <w:rsid w:val="00F57850"/>
    <w:rsid w:val="00F60E46"/>
    <w:rsid w:val="00F6184E"/>
    <w:rsid w:val="00F8007E"/>
    <w:rsid w:val="00F80BD7"/>
    <w:rsid w:val="00F81C8A"/>
    <w:rsid w:val="00F83BC6"/>
    <w:rsid w:val="00F84805"/>
    <w:rsid w:val="00F84F1D"/>
    <w:rsid w:val="00F85377"/>
    <w:rsid w:val="00F91479"/>
    <w:rsid w:val="00F92C41"/>
    <w:rsid w:val="00F94986"/>
    <w:rsid w:val="00FA2B02"/>
    <w:rsid w:val="00FA61B9"/>
    <w:rsid w:val="00FA67A9"/>
    <w:rsid w:val="00FA7BDE"/>
    <w:rsid w:val="00FA7C66"/>
    <w:rsid w:val="00FB0FE4"/>
    <w:rsid w:val="00FB1115"/>
    <w:rsid w:val="00FB2877"/>
    <w:rsid w:val="00FB4101"/>
    <w:rsid w:val="00FB4AE4"/>
    <w:rsid w:val="00FC2845"/>
    <w:rsid w:val="00FC5545"/>
    <w:rsid w:val="00FD05F6"/>
    <w:rsid w:val="00FE3DE8"/>
    <w:rsid w:val="00FE7A02"/>
    <w:rsid w:val="00FF3074"/>
    <w:rsid w:val="00FF4B56"/>
    <w:rsid w:val="00FF52DF"/>
    <w:rsid w:val="00FF5CBF"/>
    <w:rsid w:val="00FF781B"/>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white"/>
      <o:colormenu v:ext="edit" fillcolor="white"/>
    </o:shapedefaults>
    <o:shapelayout v:ext="edit">
      <o:idmap v:ext="edit" data="2"/>
    </o:shapelayout>
  </w:shapeDefaults>
  <w:decimalSymbol w:val="."/>
  <w:listSeparator w:val=","/>
  <w14:docId w14:val="791055F2"/>
  <w15:docId w15:val="{317CD93F-3CFA-4EA3-A658-B411958A7D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before="80" w:after="8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uiPriority="0"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iPriority="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9" w:unhideWhenUsed="1" w:qFormat="1"/>
    <w:lsdException w:name="List Bullet 3" w:semiHidden="1" w:uiPriority="19" w:unhideWhenUsed="1" w:qFormat="1"/>
    <w:lsdException w:name="List Bullet 4" w:semiHidden="1" w:uiPriority="19" w:unhideWhenUsed="1"/>
    <w:lsdException w:name="List Bullet 5" w:semiHidden="1" w:uiPriority="19" w:unhideWhenUsed="1"/>
    <w:lsdException w:name="List Number 2" w:semiHidden="1" w:uiPriority="19" w:unhideWhenUsed="1"/>
    <w:lsdException w:name="List Number 3" w:semiHidden="1" w:uiPriority="19" w:unhideWhenUsed="1"/>
    <w:lsdException w:name="List Number 4" w:semiHidden="1" w:uiPriority="19" w:unhideWhenUsed="1"/>
    <w:lsdException w:name="List Number 5" w:semiHidden="1" w:uiPriority="19" w:unhideWhenUsed="1"/>
    <w:lsdException w:name="Title" w:uiPriority="14"/>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4"/>
    <w:lsdException w:name="Salutation" w:semiHidden="1" w:unhideWhenUsed="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qFormat="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uiPriority="13" w:unhideWhenUsed="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8" w:qFormat="1"/>
    <w:lsdException w:name="Intense Quote"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lsdException w:name="Intense Emphasis" w:semiHidden="1"/>
    <w:lsdException w:name="Subtle Reference" w:semiHidden="1"/>
    <w:lsdException w:name="Intense Reference" w:semiHidden="1"/>
    <w:lsdException w:name="Book Title" w:semiHidden="1"/>
    <w:lsdException w:name="Bibliography" w:semiHidden="1"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D39"/>
    <w:pPr>
      <w:spacing w:before="0" w:after="0"/>
    </w:pPr>
    <w:rPr>
      <w:sz w:val="20"/>
    </w:rPr>
  </w:style>
  <w:style w:type="paragraph" w:styleId="Heading1">
    <w:name w:val="heading 1"/>
    <w:basedOn w:val="Normal"/>
    <w:next w:val="BodyText"/>
    <w:link w:val="Heading1Char"/>
    <w:qFormat/>
    <w:rsid w:val="003718BF"/>
    <w:pPr>
      <w:pageBreakBefore/>
      <w:widowControl w:val="0"/>
      <w:numPr>
        <w:numId w:val="15"/>
      </w:numPr>
      <w:spacing w:before="360" w:after="120"/>
      <w:outlineLvl w:val="0"/>
    </w:pPr>
    <w:rPr>
      <w:rFonts w:asciiTheme="majorHAnsi" w:eastAsia="Times New Roman" w:hAnsiTheme="majorHAnsi" w:cs="Arial"/>
      <w:bCs/>
      <w:caps/>
      <w:color w:val="0278AD" w:themeColor="accent1"/>
      <w:sz w:val="28"/>
      <w:szCs w:val="32"/>
      <w:lang w:eastAsia="en-AU"/>
    </w:rPr>
  </w:style>
  <w:style w:type="paragraph" w:styleId="Heading2">
    <w:name w:val="heading 2"/>
    <w:basedOn w:val="Normal"/>
    <w:next w:val="BodyText"/>
    <w:link w:val="Heading2Char"/>
    <w:qFormat/>
    <w:rsid w:val="003718BF"/>
    <w:pPr>
      <w:keepNext/>
      <w:keepLines/>
      <w:numPr>
        <w:ilvl w:val="1"/>
        <w:numId w:val="15"/>
      </w:numPr>
      <w:spacing w:before="240" w:after="120"/>
      <w:outlineLvl w:val="1"/>
    </w:pPr>
    <w:rPr>
      <w:rFonts w:asciiTheme="majorHAnsi" w:eastAsia="Times New Roman" w:hAnsiTheme="majorHAnsi" w:cs="Arial"/>
      <w:bCs/>
      <w:iCs/>
      <w:color w:val="59595B" w:themeColor="text2"/>
      <w:sz w:val="24"/>
      <w:szCs w:val="28"/>
      <w:lang w:eastAsia="en-AU"/>
    </w:rPr>
  </w:style>
  <w:style w:type="paragraph" w:styleId="Heading3">
    <w:name w:val="heading 3"/>
    <w:basedOn w:val="Normal"/>
    <w:next w:val="BodyText"/>
    <w:link w:val="Heading3Char"/>
    <w:qFormat/>
    <w:rsid w:val="003718BF"/>
    <w:pPr>
      <w:keepNext/>
      <w:keepLines/>
      <w:numPr>
        <w:ilvl w:val="2"/>
        <w:numId w:val="15"/>
      </w:numPr>
      <w:spacing w:before="240" w:after="120"/>
      <w:outlineLvl w:val="2"/>
    </w:pPr>
    <w:rPr>
      <w:rFonts w:asciiTheme="majorHAnsi" w:eastAsia="Times New Roman" w:hAnsiTheme="majorHAnsi" w:cs="Times New Roman"/>
      <w:b/>
      <w:bCs/>
      <w:color w:val="59595B" w:themeColor="text2"/>
      <w:sz w:val="22"/>
      <w:szCs w:val="24"/>
      <w:lang w:eastAsia="en-AU"/>
    </w:rPr>
  </w:style>
  <w:style w:type="paragraph" w:styleId="Heading4">
    <w:name w:val="heading 4"/>
    <w:basedOn w:val="Normal"/>
    <w:next w:val="BodyText"/>
    <w:link w:val="Heading4Char"/>
    <w:qFormat/>
    <w:rsid w:val="003718BF"/>
    <w:pPr>
      <w:keepNext/>
      <w:keepLines/>
      <w:numPr>
        <w:ilvl w:val="3"/>
        <w:numId w:val="15"/>
      </w:numPr>
      <w:spacing w:before="240" w:after="120"/>
      <w:outlineLvl w:val="3"/>
    </w:pPr>
    <w:rPr>
      <w:rFonts w:asciiTheme="majorHAnsi" w:eastAsia="Times New Roman" w:hAnsiTheme="majorHAnsi" w:cs="Times New Roman"/>
      <w:b/>
      <w:bCs/>
      <w:color w:val="59595B" w:themeColor="text2"/>
      <w:lang w:eastAsia="en-AU"/>
    </w:rPr>
  </w:style>
  <w:style w:type="paragraph" w:styleId="Heading5">
    <w:name w:val="heading 5"/>
    <w:basedOn w:val="Normal"/>
    <w:next w:val="BodyText"/>
    <w:link w:val="Heading5Char"/>
    <w:qFormat/>
    <w:rsid w:val="00366859"/>
    <w:pPr>
      <w:keepNext/>
      <w:keepLines/>
      <w:numPr>
        <w:ilvl w:val="4"/>
        <w:numId w:val="15"/>
      </w:numPr>
      <w:spacing w:before="240" w:after="120"/>
      <w:outlineLvl w:val="4"/>
    </w:pPr>
    <w:rPr>
      <w:rFonts w:asciiTheme="majorHAnsi" w:eastAsia="Times New Roman" w:hAnsiTheme="majorHAnsi" w:cs="Times New Roman"/>
      <w:b/>
      <w:bCs/>
      <w:iCs/>
      <w:color w:val="59595B" w:themeColor="text2"/>
      <w:sz w:val="18"/>
      <w:szCs w:val="26"/>
      <w:lang w:eastAsia="en-AU"/>
    </w:rPr>
  </w:style>
  <w:style w:type="paragraph" w:styleId="Heading6">
    <w:name w:val="heading 6"/>
    <w:basedOn w:val="Normal"/>
    <w:next w:val="Normal"/>
    <w:link w:val="Heading6Char"/>
    <w:uiPriority w:val="99"/>
    <w:semiHidden/>
    <w:qFormat/>
    <w:rsid w:val="00444AE6"/>
    <w:pPr>
      <w:spacing w:before="120" w:after="120"/>
      <w:outlineLvl w:val="5"/>
    </w:pPr>
    <w:rPr>
      <w:rFonts w:eastAsia="Times New Roman" w:cs="Times New Roman"/>
      <w:bCs/>
      <w:lang w:eastAsia="en-AU"/>
    </w:rPr>
  </w:style>
  <w:style w:type="paragraph" w:styleId="Heading7">
    <w:name w:val="heading 7"/>
    <w:aliases w:val="Appendix H1"/>
    <w:basedOn w:val="Normal"/>
    <w:next w:val="Normal"/>
    <w:link w:val="Heading7Char"/>
    <w:uiPriority w:val="99"/>
    <w:qFormat/>
    <w:rsid w:val="003718BF"/>
    <w:pPr>
      <w:pageBreakBefore/>
      <w:framePr w:wrap="around" w:vAnchor="page" w:hAnchor="text" w:y="5104"/>
      <w:numPr>
        <w:ilvl w:val="6"/>
        <w:numId w:val="15"/>
      </w:numPr>
      <w:tabs>
        <w:tab w:val="left" w:pos="567"/>
      </w:tabs>
      <w:outlineLvl w:val="6"/>
    </w:pPr>
    <w:rPr>
      <w:rFonts w:eastAsia="Times New Roman" w:cs="Times New Roman"/>
      <w:caps/>
      <w:color w:val="0278AD" w:themeColor="accent1"/>
      <w:sz w:val="40"/>
      <w:szCs w:val="24"/>
      <w:lang w:val="en-US" w:eastAsia="en-AU"/>
    </w:rPr>
  </w:style>
  <w:style w:type="paragraph" w:styleId="Heading8">
    <w:name w:val="heading 8"/>
    <w:aliases w:val="Appendix H2"/>
    <w:basedOn w:val="Normal"/>
    <w:next w:val="Normal"/>
    <w:link w:val="Heading8Char"/>
    <w:uiPriority w:val="99"/>
    <w:qFormat/>
    <w:rsid w:val="003718BF"/>
    <w:pPr>
      <w:keepNext/>
      <w:keepLines/>
      <w:numPr>
        <w:ilvl w:val="7"/>
        <w:numId w:val="15"/>
      </w:numPr>
      <w:tabs>
        <w:tab w:val="left" w:pos="851"/>
      </w:tabs>
      <w:spacing w:before="320" w:after="160"/>
      <w:outlineLvl w:val="7"/>
    </w:pPr>
    <w:rPr>
      <w:rFonts w:asciiTheme="majorHAnsi" w:eastAsia="Times New Roman" w:hAnsiTheme="majorHAnsi" w:cs="Arial"/>
      <w:bCs/>
      <w:color w:val="000000" w:themeColor="text1"/>
      <w:sz w:val="32"/>
      <w:szCs w:val="28"/>
      <w:lang w:val="en-US" w:eastAsia="en-AU"/>
    </w:rPr>
  </w:style>
  <w:style w:type="paragraph" w:styleId="Heading9">
    <w:name w:val="heading 9"/>
    <w:aliases w:val="Appendix H3"/>
    <w:basedOn w:val="Normal"/>
    <w:next w:val="Normal"/>
    <w:link w:val="Heading9Char"/>
    <w:uiPriority w:val="99"/>
    <w:qFormat/>
    <w:rsid w:val="003718BF"/>
    <w:pPr>
      <w:keepNext/>
      <w:keepLines/>
      <w:numPr>
        <w:ilvl w:val="8"/>
        <w:numId w:val="15"/>
      </w:numPr>
      <w:tabs>
        <w:tab w:val="left" w:pos="851"/>
      </w:tabs>
      <w:spacing w:before="280" w:after="140"/>
      <w:outlineLvl w:val="8"/>
    </w:pPr>
    <w:rPr>
      <w:rFonts w:asciiTheme="majorHAnsi" w:eastAsia="Times New Roman" w:hAnsiTheme="majorHAnsi" w:cs="Times New Roman"/>
      <w:bCs/>
      <w:color w:val="595959" w:themeColor="text1" w:themeTint="A6"/>
      <w:sz w:val="28"/>
      <w:szCs w:val="24"/>
      <w:lang w:val="en-US"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7314EE"/>
    <w:pPr>
      <w:spacing w:before="180" w:after="120" w:line="264" w:lineRule="auto"/>
      <w:jc w:val="both"/>
    </w:pPr>
    <w:rPr>
      <w:rFonts w:eastAsia="Times New Roman" w:cs="Times New Roman"/>
      <w:szCs w:val="24"/>
      <w:lang w:eastAsia="en-AU"/>
    </w:rPr>
  </w:style>
  <w:style w:type="character" w:customStyle="1" w:styleId="BodyTextChar">
    <w:name w:val="Body Text Char"/>
    <w:basedOn w:val="DefaultParagraphFont"/>
    <w:link w:val="BodyText"/>
    <w:rsid w:val="007314EE"/>
    <w:rPr>
      <w:rFonts w:eastAsia="Times New Roman" w:cs="Times New Roman"/>
      <w:sz w:val="20"/>
      <w:szCs w:val="24"/>
      <w:lang w:eastAsia="en-AU"/>
    </w:rPr>
  </w:style>
  <w:style w:type="character" w:customStyle="1" w:styleId="Heading1Char">
    <w:name w:val="Heading 1 Char"/>
    <w:basedOn w:val="DefaultParagraphFont"/>
    <w:link w:val="Heading1"/>
    <w:rsid w:val="003718BF"/>
    <w:rPr>
      <w:rFonts w:asciiTheme="majorHAnsi" w:eastAsia="Times New Roman" w:hAnsiTheme="majorHAnsi" w:cs="Arial"/>
      <w:bCs/>
      <w:caps/>
      <w:color w:val="0278AD" w:themeColor="accent1"/>
      <w:sz w:val="28"/>
      <w:szCs w:val="32"/>
      <w:lang w:eastAsia="en-AU"/>
    </w:rPr>
  </w:style>
  <w:style w:type="character" w:customStyle="1" w:styleId="Heading2Char">
    <w:name w:val="Heading 2 Char"/>
    <w:basedOn w:val="DefaultParagraphFont"/>
    <w:link w:val="Heading2"/>
    <w:rsid w:val="003718BF"/>
    <w:rPr>
      <w:rFonts w:asciiTheme="majorHAnsi" w:eastAsia="Times New Roman" w:hAnsiTheme="majorHAnsi" w:cs="Arial"/>
      <w:bCs/>
      <w:iCs/>
      <w:color w:val="59595B" w:themeColor="text2"/>
      <w:sz w:val="24"/>
      <w:szCs w:val="28"/>
      <w:lang w:eastAsia="en-AU"/>
    </w:rPr>
  </w:style>
  <w:style w:type="character" w:customStyle="1" w:styleId="Heading3Char">
    <w:name w:val="Heading 3 Char"/>
    <w:basedOn w:val="DefaultParagraphFont"/>
    <w:link w:val="Heading3"/>
    <w:rsid w:val="003718BF"/>
    <w:rPr>
      <w:rFonts w:asciiTheme="majorHAnsi" w:eastAsia="Times New Roman" w:hAnsiTheme="majorHAnsi" w:cs="Times New Roman"/>
      <w:b/>
      <w:bCs/>
      <w:color w:val="59595B" w:themeColor="text2"/>
      <w:szCs w:val="24"/>
      <w:lang w:eastAsia="en-AU"/>
    </w:rPr>
  </w:style>
  <w:style w:type="character" w:customStyle="1" w:styleId="Heading4Char">
    <w:name w:val="Heading 4 Char"/>
    <w:basedOn w:val="DefaultParagraphFont"/>
    <w:link w:val="Heading4"/>
    <w:rsid w:val="003718BF"/>
    <w:rPr>
      <w:rFonts w:asciiTheme="majorHAnsi" w:eastAsia="Times New Roman" w:hAnsiTheme="majorHAnsi" w:cs="Times New Roman"/>
      <w:b/>
      <w:bCs/>
      <w:color w:val="59595B" w:themeColor="text2"/>
      <w:sz w:val="20"/>
      <w:lang w:eastAsia="en-AU"/>
    </w:rPr>
  </w:style>
  <w:style w:type="paragraph" w:styleId="Title">
    <w:name w:val="Title"/>
    <w:basedOn w:val="Normal"/>
    <w:next w:val="BodyText"/>
    <w:link w:val="TitleChar"/>
    <w:uiPriority w:val="14"/>
    <w:rsid w:val="006D0E3F"/>
    <w:pPr>
      <w:spacing w:after="360"/>
    </w:pPr>
    <w:rPr>
      <w:rFonts w:asciiTheme="majorHAnsi" w:eastAsiaTheme="majorEastAsia" w:hAnsiTheme="majorHAnsi" w:cstheme="majorBidi"/>
      <w:color w:val="FFFFFF" w:themeColor="background1"/>
      <w:sz w:val="64"/>
      <w:szCs w:val="52"/>
    </w:rPr>
  </w:style>
  <w:style w:type="character" w:customStyle="1" w:styleId="TitleChar">
    <w:name w:val="Title Char"/>
    <w:basedOn w:val="DefaultParagraphFont"/>
    <w:link w:val="Title"/>
    <w:uiPriority w:val="14"/>
    <w:rsid w:val="006D0E3F"/>
    <w:rPr>
      <w:rFonts w:asciiTheme="majorHAnsi" w:eastAsiaTheme="majorEastAsia" w:hAnsiTheme="majorHAnsi" w:cstheme="majorBidi"/>
      <w:color w:val="FFFFFF" w:themeColor="background1"/>
      <w:sz w:val="64"/>
      <w:szCs w:val="52"/>
    </w:rPr>
  </w:style>
  <w:style w:type="paragraph" w:styleId="Subtitle">
    <w:name w:val="Subtitle"/>
    <w:basedOn w:val="Normal"/>
    <w:next w:val="BodyText"/>
    <w:link w:val="SubtitleChar"/>
    <w:uiPriority w:val="14"/>
    <w:rsid w:val="006D0E3F"/>
    <w:pPr>
      <w:numPr>
        <w:ilvl w:val="1"/>
      </w:numPr>
      <w:spacing w:before="360" w:after="480"/>
    </w:pPr>
    <w:rPr>
      <w:rFonts w:asciiTheme="majorHAnsi" w:eastAsiaTheme="majorEastAsia" w:hAnsiTheme="majorHAnsi" w:cstheme="majorBidi"/>
      <w:iCs/>
      <w:color w:val="FFFFFF" w:themeColor="background1"/>
      <w:sz w:val="48"/>
      <w:szCs w:val="24"/>
    </w:rPr>
  </w:style>
  <w:style w:type="character" w:customStyle="1" w:styleId="SubtitleChar">
    <w:name w:val="Subtitle Char"/>
    <w:basedOn w:val="DefaultParagraphFont"/>
    <w:link w:val="Subtitle"/>
    <w:uiPriority w:val="14"/>
    <w:rsid w:val="006D0E3F"/>
    <w:rPr>
      <w:rFonts w:asciiTheme="majorHAnsi" w:eastAsiaTheme="majorEastAsia" w:hAnsiTheme="majorHAnsi" w:cstheme="majorBidi"/>
      <w:iCs/>
      <w:color w:val="FFFFFF" w:themeColor="background1"/>
      <w:sz w:val="48"/>
      <w:szCs w:val="24"/>
    </w:rPr>
  </w:style>
  <w:style w:type="paragraph" w:styleId="BodyText2">
    <w:name w:val="Body Text 2"/>
    <w:basedOn w:val="BodyText"/>
    <w:link w:val="BodyText2Char"/>
    <w:uiPriority w:val="99"/>
    <w:semiHidden/>
    <w:qFormat/>
    <w:rsid w:val="00444AE6"/>
    <w:pPr>
      <w:numPr>
        <w:ilvl w:val="1"/>
      </w:numPr>
      <w:tabs>
        <w:tab w:val="left" w:pos="567"/>
      </w:tabs>
    </w:pPr>
  </w:style>
  <w:style w:type="character" w:customStyle="1" w:styleId="BodyText2Char">
    <w:name w:val="Body Text 2 Char"/>
    <w:basedOn w:val="DefaultParagraphFont"/>
    <w:link w:val="BodyText2"/>
    <w:uiPriority w:val="99"/>
    <w:semiHidden/>
    <w:rsid w:val="00444AE6"/>
    <w:rPr>
      <w:rFonts w:eastAsia="Times New Roman" w:cs="Times New Roman"/>
      <w:szCs w:val="24"/>
      <w:lang w:eastAsia="en-AU"/>
    </w:rPr>
  </w:style>
  <w:style w:type="paragraph" w:styleId="Header">
    <w:name w:val="header"/>
    <w:basedOn w:val="Normal"/>
    <w:link w:val="HeaderChar"/>
    <w:uiPriority w:val="99"/>
    <w:unhideWhenUsed/>
    <w:rsid w:val="00252201"/>
    <w:pPr>
      <w:jc w:val="right"/>
    </w:pPr>
    <w:rPr>
      <w:sz w:val="17"/>
    </w:rPr>
  </w:style>
  <w:style w:type="character" w:customStyle="1" w:styleId="HeaderChar">
    <w:name w:val="Header Char"/>
    <w:basedOn w:val="DefaultParagraphFont"/>
    <w:link w:val="Header"/>
    <w:uiPriority w:val="99"/>
    <w:rsid w:val="00252201"/>
    <w:rPr>
      <w:rFonts w:ascii="Arial" w:hAnsi="Arial"/>
      <w:sz w:val="17"/>
    </w:rPr>
  </w:style>
  <w:style w:type="paragraph" w:styleId="Footer">
    <w:name w:val="footer"/>
    <w:basedOn w:val="Normal"/>
    <w:link w:val="FooterChar"/>
    <w:uiPriority w:val="99"/>
    <w:unhideWhenUsed/>
    <w:rsid w:val="001E0056"/>
    <w:pPr>
      <w:tabs>
        <w:tab w:val="right" w:pos="9639"/>
      </w:tabs>
    </w:pPr>
    <w:rPr>
      <w:color w:val="0278AD" w:themeColor="accent1"/>
      <w:sz w:val="18"/>
    </w:rPr>
  </w:style>
  <w:style w:type="character" w:customStyle="1" w:styleId="FooterChar">
    <w:name w:val="Footer Char"/>
    <w:basedOn w:val="DefaultParagraphFont"/>
    <w:link w:val="Footer"/>
    <w:uiPriority w:val="99"/>
    <w:rsid w:val="001E0056"/>
    <w:rPr>
      <w:color w:val="0278AD" w:themeColor="accent1"/>
      <w:sz w:val="18"/>
    </w:rPr>
  </w:style>
  <w:style w:type="paragraph" w:styleId="ListNumber0">
    <w:name w:val="List Number"/>
    <w:basedOn w:val="Normal"/>
    <w:uiPriority w:val="2"/>
    <w:qFormat/>
    <w:rsid w:val="007314EE"/>
    <w:pPr>
      <w:numPr>
        <w:numId w:val="6"/>
      </w:numPr>
      <w:spacing w:before="120" w:after="120" w:line="264" w:lineRule="auto"/>
      <w:jc w:val="both"/>
    </w:pPr>
    <w:rPr>
      <w:rFonts w:eastAsia="Times New Roman" w:cs="Times New Roman"/>
      <w:szCs w:val="24"/>
      <w:lang w:eastAsia="en-AU"/>
    </w:rPr>
  </w:style>
  <w:style w:type="paragraph" w:styleId="ListBullet0">
    <w:name w:val="List Bullet"/>
    <w:aliases w:val="Char, Char"/>
    <w:basedOn w:val="Normal"/>
    <w:uiPriority w:val="2"/>
    <w:qFormat/>
    <w:rsid w:val="007314EE"/>
    <w:pPr>
      <w:spacing w:before="120" w:after="120" w:line="264" w:lineRule="auto"/>
      <w:jc w:val="both"/>
    </w:pPr>
    <w:rPr>
      <w:rFonts w:eastAsia="Times New Roman" w:cs="Times New Roman"/>
      <w:szCs w:val="24"/>
      <w:lang w:eastAsia="en-AU"/>
    </w:rPr>
  </w:style>
  <w:style w:type="paragraph" w:styleId="TOCHeading">
    <w:name w:val="TOC Heading"/>
    <w:next w:val="Normal"/>
    <w:uiPriority w:val="39"/>
    <w:rsid w:val="00DF0373"/>
    <w:pPr>
      <w:spacing w:before="400" w:after="120"/>
    </w:pPr>
    <w:rPr>
      <w:rFonts w:asciiTheme="majorHAnsi" w:eastAsia="Times New Roman" w:hAnsiTheme="majorHAnsi" w:cs="Arial"/>
      <w:bCs/>
      <w:caps/>
      <w:color w:val="0278AD" w:themeColor="accent1"/>
      <w:sz w:val="28"/>
      <w:szCs w:val="32"/>
      <w:lang w:eastAsia="en-AU"/>
    </w:rPr>
  </w:style>
  <w:style w:type="character" w:styleId="Hyperlink">
    <w:name w:val="Hyperlink"/>
    <w:basedOn w:val="DefaultParagraphFont"/>
    <w:uiPriority w:val="99"/>
    <w:unhideWhenUsed/>
    <w:rsid w:val="00E504D3"/>
    <w:rPr>
      <w:color w:val="0278AD" w:themeColor="accent1"/>
      <w:u w:val="single"/>
    </w:rPr>
  </w:style>
  <w:style w:type="paragraph" w:styleId="TOC1">
    <w:name w:val="toc 1"/>
    <w:basedOn w:val="Normal"/>
    <w:next w:val="Normal"/>
    <w:uiPriority w:val="39"/>
    <w:rsid w:val="00AE06EE"/>
    <w:pPr>
      <w:keepNext/>
      <w:tabs>
        <w:tab w:val="right" w:pos="9639"/>
      </w:tabs>
      <w:spacing w:before="200" w:after="80"/>
    </w:pPr>
    <w:rPr>
      <w:caps/>
      <w:noProof/>
      <w:color w:val="0278AD" w:themeColor="accent1"/>
    </w:rPr>
  </w:style>
  <w:style w:type="paragraph" w:styleId="TOC2">
    <w:name w:val="toc 2"/>
    <w:basedOn w:val="Normal"/>
    <w:next w:val="Normal"/>
    <w:uiPriority w:val="39"/>
    <w:qFormat/>
    <w:rsid w:val="008A478B"/>
    <w:pPr>
      <w:tabs>
        <w:tab w:val="right" w:pos="9639"/>
      </w:tabs>
      <w:spacing w:after="80"/>
    </w:pPr>
    <w:rPr>
      <w:noProof/>
      <w:color w:val="000000" w:themeColor="text1"/>
    </w:rPr>
  </w:style>
  <w:style w:type="paragraph" w:styleId="TOC3">
    <w:name w:val="toc 3"/>
    <w:basedOn w:val="Normal"/>
    <w:next w:val="Normal"/>
    <w:uiPriority w:val="39"/>
    <w:rsid w:val="008A478B"/>
    <w:pPr>
      <w:tabs>
        <w:tab w:val="right" w:pos="9639"/>
      </w:tabs>
      <w:spacing w:after="60"/>
    </w:pPr>
    <w:rPr>
      <w:color w:val="595959" w:themeColor="text1" w:themeTint="A6"/>
    </w:rPr>
  </w:style>
  <w:style w:type="table" w:styleId="TableGrid">
    <w:name w:val="Table Grid"/>
    <w:basedOn w:val="TableNormal"/>
    <w:semiHidden/>
    <w:rsid w:val="00DB2B4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eenTable">
    <w:name w:val="Green Table"/>
    <w:basedOn w:val="BlueTable"/>
    <w:uiPriority w:val="99"/>
    <w:rsid w:val="00803750"/>
    <w:tblPr>
      <w:tblBorders>
        <w:top w:val="single" w:sz="4" w:space="0" w:color="6EB444" w:themeColor="accent3"/>
        <w:left w:val="single" w:sz="4" w:space="0" w:color="6EB444" w:themeColor="accent3"/>
        <w:bottom w:val="single" w:sz="4" w:space="0" w:color="6EB444" w:themeColor="accent3"/>
        <w:right w:val="single" w:sz="4" w:space="0" w:color="6EB444" w:themeColor="accent3"/>
        <w:insideH w:val="single" w:sz="4" w:space="0" w:color="6EB444" w:themeColor="accent3"/>
        <w:insideV w:val="single" w:sz="4" w:space="0" w:color="6EB444" w:themeColor="accent3"/>
      </w:tblBorders>
    </w:tbl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6EB444" w:themeFill="accent3"/>
      </w:tcPr>
    </w:tblStylePr>
    <w:tblStylePr w:type="lastRow">
      <w:rPr>
        <w:b/>
      </w:rPr>
      <w:tblPr/>
      <w:tcPr>
        <w:shd w:val="clear" w:color="auto" w:fill="C4E2B2" w:themeFill="accent3" w:themeFillTint="66"/>
      </w:tcPr>
    </w:tblStylePr>
    <w:tblStylePr w:type="firstCol">
      <w:rPr>
        <w:color w:val="FFFFFF" w:themeColor="background1"/>
      </w:rPr>
      <w:tblPr/>
      <w:tcPr>
        <w:tcBorders>
          <w:insideH w:val="single" w:sz="4" w:space="0" w:color="FFFFFF" w:themeColor="background1"/>
        </w:tcBorders>
        <w:shd w:val="clear" w:color="auto" w:fill="6EB444" w:themeFill="accent3"/>
      </w:tcPr>
    </w:tblStylePr>
    <w:tblStylePr w:type="band2Vert">
      <w:tblPr/>
      <w:tcPr>
        <w:shd w:val="clear" w:color="auto" w:fill="E1F0D8" w:themeFill="accent3" w:themeFillTint="33"/>
      </w:tcPr>
    </w:tblStylePr>
    <w:tblStylePr w:type="band2Horz">
      <w:tblPr/>
      <w:tcPr>
        <w:shd w:val="clear" w:color="auto" w:fill="E1F0D8" w:themeFill="accent3" w:themeFillTint="33"/>
      </w:tcPr>
    </w:tblStylePr>
    <w:tblStylePr w:type="swCell">
      <w:rPr>
        <w:color w:val="auto"/>
      </w:rPr>
    </w:tblStylePr>
  </w:style>
  <w:style w:type="paragraph" w:customStyle="1" w:styleId="TableHeading">
    <w:name w:val="Table Heading"/>
    <w:basedOn w:val="Normal"/>
    <w:next w:val="BodyText"/>
    <w:link w:val="TableHeadingChar"/>
    <w:uiPriority w:val="3"/>
    <w:qFormat/>
    <w:rsid w:val="00E964E1"/>
    <w:pPr>
      <w:spacing w:before="60" w:after="60"/>
    </w:pPr>
    <w:rPr>
      <w:rFonts w:asciiTheme="majorHAnsi" w:eastAsiaTheme="majorEastAsia" w:hAnsiTheme="majorHAnsi" w:cstheme="majorBidi"/>
      <w:b/>
      <w:szCs w:val="52"/>
    </w:rPr>
  </w:style>
  <w:style w:type="paragraph" w:customStyle="1" w:styleId="TableText">
    <w:name w:val="Table Text"/>
    <w:basedOn w:val="Normal"/>
    <w:link w:val="TableTextChar"/>
    <w:qFormat/>
    <w:rsid w:val="00E964E1"/>
    <w:pPr>
      <w:spacing w:before="60" w:after="60"/>
    </w:pPr>
    <w:rPr>
      <w:rFonts w:asciiTheme="majorHAnsi" w:eastAsiaTheme="majorEastAsia" w:hAnsiTheme="majorHAnsi" w:cstheme="majorBidi"/>
      <w:szCs w:val="52"/>
    </w:rPr>
  </w:style>
  <w:style w:type="paragraph" w:customStyle="1" w:styleId="TableBullet">
    <w:name w:val="Table Bullet"/>
    <w:basedOn w:val="TableText"/>
    <w:uiPriority w:val="4"/>
    <w:qFormat/>
    <w:rsid w:val="008A478B"/>
    <w:pPr>
      <w:numPr>
        <w:numId w:val="12"/>
      </w:numPr>
    </w:pPr>
    <w:rPr>
      <w:rFonts w:asciiTheme="minorHAnsi" w:eastAsia="Times New Roman" w:hAnsiTheme="minorHAnsi" w:cs="Times New Roman"/>
      <w:szCs w:val="24"/>
      <w:lang w:eastAsia="en-AU"/>
    </w:rPr>
  </w:style>
  <w:style w:type="paragraph" w:customStyle="1" w:styleId="TableNumber">
    <w:name w:val="Table Number"/>
    <w:basedOn w:val="TableText"/>
    <w:uiPriority w:val="4"/>
    <w:qFormat/>
    <w:rsid w:val="008A478B"/>
    <w:pPr>
      <w:numPr>
        <w:numId w:val="13"/>
      </w:numPr>
    </w:pPr>
    <w:rPr>
      <w:rFonts w:asciiTheme="minorHAnsi" w:eastAsiaTheme="minorHAnsi" w:hAnsiTheme="minorHAnsi" w:cstheme="minorBidi"/>
      <w:szCs w:val="22"/>
    </w:rPr>
  </w:style>
  <w:style w:type="character" w:customStyle="1" w:styleId="Heading5Char">
    <w:name w:val="Heading 5 Char"/>
    <w:basedOn w:val="DefaultParagraphFont"/>
    <w:link w:val="Heading5"/>
    <w:rsid w:val="00366859"/>
    <w:rPr>
      <w:rFonts w:asciiTheme="majorHAnsi" w:eastAsia="Times New Roman" w:hAnsiTheme="majorHAnsi" w:cs="Times New Roman"/>
      <w:b/>
      <w:bCs/>
      <w:iCs/>
      <w:color w:val="59595B" w:themeColor="text2"/>
      <w:sz w:val="18"/>
      <w:szCs w:val="26"/>
      <w:lang w:eastAsia="en-AU"/>
    </w:rPr>
  </w:style>
  <w:style w:type="character" w:customStyle="1" w:styleId="Heading6Char">
    <w:name w:val="Heading 6 Char"/>
    <w:basedOn w:val="DefaultParagraphFont"/>
    <w:link w:val="Heading6"/>
    <w:uiPriority w:val="99"/>
    <w:semiHidden/>
    <w:rsid w:val="002C5B1C"/>
    <w:rPr>
      <w:rFonts w:eastAsia="Times New Roman" w:cs="Times New Roman"/>
      <w:bCs/>
      <w:lang w:eastAsia="en-AU"/>
    </w:rPr>
  </w:style>
  <w:style w:type="paragraph" w:styleId="BodyText3">
    <w:name w:val="Body Text 3"/>
    <w:basedOn w:val="BodyText"/>
    <w:link w:val="BodyText3Char"/>
    <w:uiPriority w:val="99"/>
    <w:semiHidden/>
    <w:qFormat/>
    <w:rsid w:val="00444AE6"/>
    <w:pPr>
      <w:numPr>
        <w:ilvl w:val="2"/>
      </w:numPr>
    </w:pPr>
    <w:rPr>
      <w:szCs w:val="16"/>
    </w:rPr>
  </w:style>
  <w:style w:type="character" w:customStyle="1" w:styleId="BodyText3Char">
    <w:name w:val="Body Text 3 Char"/>
    <w:basedOn w:val="DefaultParagraphFont"/>
    <w:link w:val="BodyText3"/>
    <w:uiPriority w:val="99"/>
    <w:semiHidden/>
    <w:rsid w:val="00444AE6"/>
    <w:rPr>
      <w:rFonts w:eastAsia="Times New Roman" w:cs="Times New Roman"/>
      <w:szCs w:val="16"/>
      <w:lang w:eastAsia="en-AU"/>
    </w:rPr>
  </w:style>
  <w:style w:type="paragraph" w:styleId="ListParagraph">
    <w:name w:val="List Paragraph"/>
    <w:basedOn w:val="ListBullet0"/>
    <w:link w:val="ListParagraphChar"/>
    <w:uiPriority w:val="34"/>
    <w:qFormat/>
    <w:rsid w:val="007314EE"/>
    <w:pPr>
      <w:numPr>
        <w:numId w:val="8"/>
      </w:numPr>
    </w:pPr>
  </w:style>
  <w:style w:type="paragraph" w:styleId="TOC4">
    <w:name w:val="toc 4"/>
    <w:basedOn w:val="TOC1"/>
    <w:next w:val="Normal"/>
    <w:uiPriority w:val="39"/>
    <w:rsid w:val="00DF01DF"/>
    <w:pPr>
      <w:tabs>
        <w:tab w:val="left" w:pos="851"/>
      </w:tabs>
      <w:ind w:left="851" w:hanging="851"/>
    </w:pPr>
  </w:style>
  <w:style w:type="table" w:styleId="ColorfulGrid">
    <w:name w:val="Colorful Grid"/>
    <w:basedOn w:val="TableNormal"/>
    <w:uiPriority w:val="73"/>
    <w:semiHidden/>
    <w:unhideWhenUsed/>
    <w:rsid w:val="007D1864"/>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7D1864"/>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BCE9FE" w:themeFill="accent1" w:themeFillTint="33"/>
    </w:tcPr>
    <w:tblStylePr w:type="firstRow">
      <w:rPr>
        <w:b/>
        <w:bCs/>
      </w:rPr>
      <w:tblPr/>
      <w:tcPr>
        <w:shd w:val="clear" w:color="auto" w:fill="7AD4FD" w:themeFill="accent1" w:themeFillTint="66"/>
      </w:tcPr>
    </w:tblStylePr>
    <w:tblStylePr w:type="lastRow">
      <w:rPr>
        <w:b/>
        <w:bCs/>
        <w:color w:val="000000" w:themeColor="text1"/>
      </w:rPr>
      <w:tblPr/>
      <w:tcPr>
        <w:shd w:val="clear" w:color="auto" w:fill="7AD4FD" w:themeFill="accent1" w:themeFillTint="66"/>
      </w:tcPr>
    </w:tblStylePr>
    <w:tblStylePr w:type="firstCol">
      <w:rPr>
        <w:color w:val="FFFFFF" w:themeColor="background1"/>
      </w:rPr>
      <w:tblPr/>
      <w:tcPr>
        <w:shd w:val="clear" w:color="auto" w:fill="015981" w:themeFill="accent1" w:themeFillShade="BF"/>
      </w:tcPr>
    </w:tblStylePr>
    <w:tblStylePr w:type="lastCol">
      <w:rPr>
        <w:color w:val="FFFFFF" w:themeColor="background1"/>
      </w:rPr>
      <w:tblPr/>
      <w:tcPr>
        <w:shd w:val="clear" w:color="auto" w:fill="015981" w:themeFill="accent1" w:themeFillShade="BF"/>
      </w:tcPr>
    </w:tblStylePr>
    <w:tblStylePr w:type="band1Vert">
      <w:tblPr/>
      <w:tcPr>
        <w:shd w:val="clear" w:color="auto" w:fill="59C9FD" w:themeFill="accent1" w:themeFillTint="7F"/>
      </w:tcPr>
    </w:tblStylePr>
    <w:tblStylePr w:type="band1Horz">
      <w:tblPr/>
      <w:tcPr>
        <w:shd w:val="clear" w:color="auto" w:fill="59C9FD" w:themeFill="accent1" w:themeFillTint="7F"/>
      </w:tcPr>
    </w:tblStylePr>
  </w:style>
  <w:style w:type="paragraph" w:styleId="BalloonText">
    <w:name w:val="Balloon Text"/>
    <w:basedOn w:val="Normal"/>
    <w:link w:val="BalloonTextChar"/>
    <w:uiPriority w:val="99"/>
    <w:semiHidden/>
    <w:rsid w:val="00E21DC0"/>
    <w:rPr>
      <w:rFonts w:ascii="Tahoma" w:hAnsi="Tahoma" w:cs="Tahoma"/>
      <w:sz w:val="16"/>
      <w:szCs w:val="16"/>
    </w:rPr>
  </w:style>
  <w:style w:type="character" w:customStyle="1" w:styleId="BalloonTextChar">
    <w:name w:val="Balloon Text Char"/>
    <w:basedOn w:val="DefaultParagraphFont"/>
    <w:link w:val="BalloonText"/>
    <w:uiPriority w:val="99"/>
    <w:semiHidden/>
    <w:rsid w:val="00E21DC0"/>
    <w:rPr>
      <w:rFonts w:ascii="Tahoma" w:hAnsi="Tahoma" w:cs="Tahoma"/>
      <w:sz w:val="16"/>
      <w:szCs w:val="16"/>
    </w:rPr>
  </w:style>
  <w:style w:type="paragraph" w:styleId="Quote">
    <w:name w:val="Quote"/>
    <w:basedOn w:val="Normal"/>
    <w:next w:val="BodyText"/>
    <w:link w:val="QuoteChar"/>
    <w:uiPriority w:val="8"/>
    <w:qFormat/>
    <w:rsid w:val="008C03C6"/>
    <w:pPr>
      <w:keepLines/>
      <w:pBdr>
        <w:top w:val="single" w:sz="48" w:space="5" w:color="FFFFFF" w:themeColor="background1"/>
        <w:left w:val="single" w:sz="36" w:space="24" w:color="FCB717" w:themeColor="accent2"/>
        <w:bottom w:val="single" w:sz="48" w:space="5" w:color="FFFFFF" w:themeColor="background1"/>
      </w:pBdr>
      <w:spacing w:before="240" w:after="240"/>
      <w:ind w:left="567" w:right="567"/>
      <w:jc w:val="both"/>
    </w:pPr>
    <w:rPr>
      <w:i/>
      <w:iCs/>
      <w:color w:val="595959" w:themeColor="text1" w:themeTint="A6"/>
      <w:sz w:val="24"/>
    </w:rPr>
  </w:style>
  <w:style w:type="character" w:customStyle="1" w:styleId="QuoteChar">
    <w:name w:val="Quote Char"/>
    <w:basedOn w:val="DefaultParagraphFont"/>
    <w:link w:val="Quote"/>
    <w:uiPriority w:val="8"/>
    <w:rsid w:val="00CD54D7"/>
    <w:rPr>
      <w:i/>
      <w:iCs/>
      <w:color w:val="595959" w:themeColor="text1" w:themeTint="A6"/>
      <w:sz w:val="24"/>
    </w:rPr>
  </w:style>
  <w:style w:type="paragraph" w:customStyle="1" w:styleId="FigureCaption">
    <w:name w:val="Figure Caption"/>
    <w:basedOn w:val="Caption"/>
    <w:next w:val="BodyText"/>
    <w:uiPriority w:val="6"/>
    <w:qFormat/>
    <w:rsid w:val="002F23D2"/>
    <w:pPr>
      <w:spacing w:before="120" w:after="240"/>
      <w:jc w:val="center"/>
    </w:pPr>
    <w:rPr>
      <w:b/>
      <w:i w:val="0"/>
      <w:sz w:val="18"/>
    </w:rPr>
  </w:style>
  <w:style w:type="paragraph" w:customStyle="1" w:styleId="TableCaption">
    <w:name w:val="Table Caption"/>
    <w:basedOn w:val="Caption"/>
    <w:link w:val="TableCaptionChar"/>
    <w:uiPriority w:val="8"/>
    <w:qFormat/>
    <w:rsid w:val="002F23D2"/>
    <w:pPr>
      <w:keepNext/>
    </w:pPr>
    <w:rPr>
      <w:b/>
      <w:i w:val="0"/>
      <w:sz w:val="18"/>
    </w:rPr>
  </w:style>
  <w:style w:type="paragraph" w:customStyle="1" w:styleId="FigureStyle">
    <w:name w:val="Figure Style"/>
    <w:basedOn w:val="BodyText"/>
    <w:next w:val="FigureCaption"/>
    <w:uiPriority w:val="6"/>
    <w:qFormat/>
    <w:rsid w:val="001D6B94"/>
    <w:pPr>
      <w:keepNext/>
      <w:spacing w:before="360" w:line="240" w:lineRule="auto"/>
      <w:jc w:val="center"/>
    </w:pPr>
  </w:style>
  <w:style w:type="paragraph" w:styleId="TOC5">
    <w:name w:val="toc 5"/>
    <w:basedOn w:val="TOC2"/>
    <w:next w:val="Normal"/>
    <w:uiPriority w:val="39"/>
    <w:rsid w:val="0061089F"/>
    <w:pPr>
      <w:tabs>
        <w:tab w:val="left" w:pos="851"/>
      </w:tabs>
      <w:ind w:left="851" w:hanging="851"/>
    </w:pPr>
  </w:style>
  <w:style w:type="paragraph" w:styleId="TOC6">
    <w:name w:val="toc 6"/>
    <w:basedOn w:val="TOC3"/>
    <w:next w:val="Normal"/>
    <w:uiPriority w:val="39"/>
    <w:rsid w:val="0061089F"/>
    <w:pPr>
      <w:tabs>
        <w:tab w:val="left" w:pos="851"/>
      </w:tabs>
      <w:ind w:left="851" w:hanging="851"/>
    </w:pPr>
    <w:rPr>
      <w:noProof/>
    </w:rPr>
  </w:style>
  <w:style w:type="paragraph" w:styleId="TOC7">
    <w:name w:val="toc 7"/>
    <w:basedOn w:val="TOC2"/>
    <w:next w:val="Normal"/>
    <w:uiPriority w:val="39"/>
    <w:rsid w:val="00BA0422"/>
    <w:pPr>
      <w:tabs>
        <w:tab w:val="left" w:pos="851"/>
      </w:tabs>
      <w:spacing w:after="60"/>
      <w:ind w:left="851" w:hanging="851"/>
    </w:pPr>
    <w:rPr>
      <w:color w:val="595959" w:themeColor="text1" w:themeTint="A6"/>
      <w:sz w:val="16"/>
    </w:rPr>
  </w:style>
  <w:style w:type="paragraph" w:styleId="TOC8">
    <w:name w:val="toc 8"/>
    <w:basedOn w:val="Normal"/>
    <w:next w:val="Normal"/>
    <w:uiPriority w:val="39"/>
    <w:semiHidden/>
    <w:rsid w:val="003B4DCF"/>
    <w:pPr>
      <w:tabs>
        <w:tab w:val="left" w:pos="851"/>
        <w:tab w:val="right" w:pos="9639"/>
      </w:tabs>
      <w:spacing w:after="60"/>
      <w:ind w:left="851" w:hanging="851"/>
    </w:pPr>
    <w:rPr>
      <w:sz w:val="16"/>
    </w:rPr>
  </w:style>
  <w:style w:type="paragraph" w:styleId="TOC9">
    <w:name w:val="toc 9"/>
    <w:basedOn w:val="Normal"/>
    <w:next w:val="Normal"/>
    <w:uiPriority w:val="39"/>
    <w:semiHidden/>
    <w:rsid w:val="003B4DCF"/>
    <w:pPr>
      <w:tabs>
        <w:tab w:val="left" w:pos="1418"/>
        <w:tab w:val="right" w:pos="9639"/>
      </w:tabs>
      <w:spacing w:after="60"/>
      <w:ind w:left="1134" w:hanging="1134"/>
    </w:pPr>
  </w:style>
  <w:style w:type="numbering" w:customStyle="1" w:styleId="ListNumber">
    <w:name w:val="List_Number"/>
    <w:uiPriority w:val="99"/>
    <w:rsid w:val="007314EE"/>
    <w:pPr>
      <w:numPr>
        <w:numId w:val="3"/>
      </w:numPr>
    </w:pPr>
  </w:style>
  <w:style w:type="numbering" w:customStyle="1" w:styleId="ListParagraph1">
    <w:name w:val="List_Paragraph"/>
    <w:uiPriority w:val="99"/>
    <w:rsid w:val="007314EE"/>
  </w:style>
  <w:style w:type="paragraph" w:styleId="Caption">
    <w:name w:val="caption"/>
    <w:basedOn w:val="Normal"/>
    <w:next w:val="Normal"/>
    <w:link w:val="CaptionChar"/>
    <w:uiPriority w:val="99"/>
    <w:semiHidden/>
    <w:qFormat/>
    <w:rsid w:val="00C06764"/>
    <w:pPr>
      <w:tabs>
        <w:tab w:val="left" w:pos="1134"/>
      </w:tabs>
      <w:spacing w:before="240" w:after="120"/>
      <w:ind w:left="1134" w:hanging="1134"/>
    </w:pPr>
    <w:rPr>
      <w:i/>
      <w:color w:val="595959" w:themeColor="text1" w:themeTint="A6"/>
    </w:rPr>
  </w:style>
  <w:style w:type="paragraph" w:customStyle="1" w:styleId="ListAlpha0">
    <w:name w:val="List Alpha"/>
    <w:basedOn w:val="BodyText"/>
    <w:uiPriority w:val="2"/>
    <w:qFormat/>
    <w:rsid w:val="007314EE"/>
    <w:pPr>
      <w:numPr>
        <w:numId w:val="7"/>
      </w:numPr>
      <w:spacing w:before="120"/>
    </w:pPr>
  </w:style>
  <w:style w:type="numbering" w:customStyle="1" w:styleId="ListAlpha">
    <w:name w:val="List_Alpha"/>
    <w:uiPriority w:val="99"/>
    <w:rsid w:val="007314EE"/>
    <w:pPr>
      <w:numPr>
        <w:numId w:val="1"/>
      </w:numPr>
    </w:pPr>
  </w:style>
  <w:style w:type="paragraph" w:styleId="TableofAuthorities">
    <w:name w:val="table of authorities"/>
    <w:basedOn w:val="Normal"/>
    <w:next w:val="Normal"/>
    <w:uiPriority w:val="99"/>
    <w:semiHidden/>
    <w:unhideWhenUsed/>
    <w:rsid w:val="00E018FB"/>
    <w:pPr>
      <w:ind w:left="200" w:hanging="200"/>
    </w:pPr>
  </w:style>
  <w:style w:type="paragraph" w:styleId="TableofFigures">
    <w:name w:val="table of figures"/>
    <w:basedOn w:val="TOC3"/>
    <w:next w:val="Normal"/>
    <w:uiPriority w:val="99"/>
    <w:rsid w:val="008A478B"/>
    <w:pPr>
      <w:tabs>
        <w:tab w:val="left" w:pos="1418"/>
      </w:tabs>
      <w:ind w:left="1418" w:hanging="1418"/>
    </w:pPr>
    <w:rPr>
      <w:noProof/>
    </w:rPr>
  </w:style>
  <w:style w:type="table" w:customStyle="1" w:styleId="BlueTable">
    <w:name w:val="Blue Table"/>
    <w:basedOn w:val="TableNormal"/>
    <w:uiPriority w:val="99"/>
    <w:rsid w:val="00803750"/>
    <w:pPr>
      <w:spacing w:before="0" w:after="0"/>
    </w:pPr>
    <w:tblPr>
      <w:tblStyleRowBandSize w:val="1"/>
      <w:tblStyleColBandSize w:val="1"/>
      <w:tblBorders>
        <w:top w:val="single" w:sz="4" w:space="0" w:color="0278AD" w:themeColor="accent1"/>
        <w:left w:val="single" w:sz="4" w:space="0" w:color="0278AD" w:themeColor="accent1"/>
        <w:bottom w:val="single" w:sz="4" w:space="0" w:color="0278AD" w:themeColor="accent1"/>
        <w:right w:val="single" w:sz="4" w:space="0" w:color="0278AD" w:themeColor="accent1"/>
        <w:insideH w:val="single" w:sz="4" w:space="0" w:color="0278AD" w:themeColor="accent1"/>
        <w:insideV w:val="single" w:sz="4" w:space="0" w:color="0278AD" w:themeColor="accent1"/>
      </w:tblBorders>
    </w:tblPr>
    <w:trPr>
      <w:cantSplit/>
    </w:tr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0278AD" w:themeFill="accent1"/>
      </w:tcPr>
    </w:tblStylePr>
    <w:tblStylePr w:type="lastRow">
      <w:rPr>
        <w:b/>
      </w:rPr>
      <w:tblPr/>
      <w:tcPr>
        <w:shd w:val="clear" w:color="auto" w:fill="ABE4FE" w:themeFill="accent1" w:themeFillTint="40"/>
      </w:tcPr>
    </w:tblStylePr>
    <w:tblStylePr w:type="firstCol">
      <w:rPr>
        <w:color w:val="FFFFFF" w:themeColor="background1"/>
      </w:rPr>
      <w:tblPr/>
      <w:tcPr>
        <w:tcBorders>
          <w:insideH w:val="single" w:sz="4" w:space="0" w:color="FFFFFF" w:themeColor="background1"/>
        </w:tcBorders>
        <w:shd w:val="clear" w:color="auto" w:fill="0278AD" w:themeFill="accent1"/>
      </w:tcPr>
    </w:tblStylePr>
    <w:tblStylePr w:type="band2Vert">
      <w:tblPr/>
      <w:tcPr>
        <w:shd w:val="clear" w:color="auto" w:fill="DDF4FE" w:themeFill="accent1" w:themeFillTint="1A"/>
      </w:tcPr>
    </w:tblStylePr>
    <w:tblStylePr w:type="band2Horz">
      <w:tblPr/>
      <w:tcPr>
        <w:shd w:val="clear" w:color="auto" w:fill="DDF4FE" w:themeFill="accent1" w:themeFillTint="1A"/>
      </w:tcPr>
    </w:tblStylePr>
    <w:tblStylePr w:type="swCell">
      <w:rPr>
        <w:color w:val="auto"/>
      </w:rPr>
    </w:tblStylePr>
  </w:style>
  <w:style w:type="table" w:customStyle="1" w:styleId="GoldTable">
    <w:name w:val="Gold Table"/>
    <w:basedOn w:val="TableNormal"/>
    <w:uiPriority w:val="99"/>
    <w:rsid w:val="008E0933"/>
    <w:pPr>
      <w:spacing w:before="0" w:after="0"/>
    </w:pPr>
    <w:tblPr>
      <w:tblStyleRowBandSize w:val="1"/>
      <w:tblStyleColBandSize w:val="1"/>
      <w:tblBorders>
        <w:top w:val="single" w:sz="4" w:space="0" w:color="FCB717" w:themeColor="accent2"/>
        <w:left w:val="single" w:sz="4" w:space="0" w:color="FCB717" w:themeColor="accent2"/>
        <w:bottom w:val="single" w:sz="4" w:space="0" w:color="FCB717" w:themeColor="accent2"/>
        <w:right w:val="single" w:sz="4" w:space="0" w:color="FCB717" w:themeColor="accent2"/>
        <w:insideH w:val="single" w:sz="4" w:space="0" w:color="FCB717" w:themeColor="accent2"/>
        <w:insideV w:val="single" w:sz="4" w:space="0" w:color="FCB717" w:themeColor="accent2"/>
      </w:tblBorders>
    </w:tblPr>
    <w:trPr>
      <w:cantSplit/>
    </w:trPr>
    <w:tblStylePr w:type="firstRow">
      <w:rPr>
        <w:color w:val="auto"/>
      </w:rPr>
      <w:tblPr/>
      <w:trPr>
        <w:cantSplit/>
        <w:tblHeader/>
      </w:trPr>
      <w:tcPr>
        <w:tcBorders>
          <w:insideV w:val="single" w:sz="4" w:space="0" w:color="FFFFFF" w:themeColor="background1"/>
        </w:tcBorders>
        <w:shd w:val="clear" w:color="auto" w:fill="FCB717" w:themeFill="accent2"/>
      </w:tcPr>
    </w:tblStylePr>
    <w:tblStylePr w:type="lastRow">
      <w:rPr>
        <w:b/>
      </w:rPr>
      <w:tblPr/>
      <w:tcPr>
        <w:shd w:val="clear" w:color="auto" w:fill="FDE2A2" w:themeFill="accent2" w:themeFillTint="66"/>
      </w:tcPr>
    </w:tblStylePr>
    <w:tblStylePr w:type="firstCol">
      <w:rPr>
        <w:color w:val="auto"/>
      </w:rPr>
      <w:tblPr/>
      <w:tcPr>
        <w:tcBorders>
          <w:insideH w:val="single" w:sz="4" w:space="0" w:color="FFFFFF" w:themeColor="background1"/>
        </w:tcBorders>
        <w:shd w:val="clear" w:color="auto" w:fill="FCB717" w:themeFill="accent2"/>
      </w:tcPr>
    </w:tblStylePr>
    <w:tblStylePr w:type="band2Vert">
      <w:tblPr/>
      <w:tcPr>
        <w:shd w:val="clear" w:color="auto" w:fill="FEF0D0" w:themeFill="accent2" w:themeFillTint="33"/>
      </w:tcPr>
    </w:tblStylePr>
    <w:tblStylePr w:type="band2Horz">
      <w:tblPr/>
      <w:tcPr>
        <w:shd w:val="clear" w:color="auto" w:fill="FEF0D0" w:themeFill="accent2" w:themeFillTint="33"/>
      </w:tcPr>
    </w:tblStylePr>
    <w:tblStylePr w:type="swCell">
      <w:rPr>
        <w:color w:val="auto"/>
      </w:rPr>
    </w:tblStylePr>
  </w:style>
  <w:style w:type="character" w:styleId="FollowedHyperlink">
    <w:name w:val="FollowedHyperlink"/>
    <w:basedOn w:val="DefaultParagraphFont"/>
    <w:uiPriority w:val="14"/>
    <w:unhideWhenUsed/>
    <w:rsid w:val="00E504D3"/>
    <w:rPr>
      <w:color w:val="0278AD" w:themeColor="accent1"/>
      <w:u w:val="single"/>
    </w:rPr>
  </w:style>
  <w:style w:type="character" w:customStyle="1" w:styleId="Heading7Char">
    <w:name w:val="Heading 7 Char"/>
    <w:aliases w:val="Appendix H1 Char"/>
    <w:basedOn w:val="DefaultParagraphFont"/>
    <w:link w:val="Heading7"/>
    <w:uiPriority w:val="99"/>
    <w:rsid w:val="003718BF"/>
    <w:rPr>
      <w:rFonts w:eastAsia="Times New Roman" w:cs="Times New Roman"/>
      <w:caps/>
      <w:color w:val="0278AD" w:themeColor="accent1"/>
      <w:sz w:val="40"/>
      <w:szCs w:val="24"/>
      <w:lang w:val="en-US" w:eastAsia="en-AU"/>
    </w:rPr>
  </w:style>
  <w:style w:type="character" w:customStyle="1" w:styleId="Heading8Char">
    <w:name w:val="Heading 8 Char"/>
    <w:aliases w:val="Appendix H2 Char"/>
    <w:basedOn w:val="DefaultParagraphFont"/>
    <w:link w:val="Heading8"/>
    <w:uiPriority w:val="99"/>
    <w:rsid w:val="003718BF"/>
    <w:rPr>
      <w:rFonts w:asciiTheme="majorHAnsi" w:eastAsia="Times New Roman" w:hAnsiTheme="majorHAnsi" w:cs="Arial"/>
      <w:bCs/>
      <w:color w:val="000000" w:themeColor="text1"/>
      <w:sz w:val="32"/>
      <w:szCs w:val="28"/>
      <w:lang w:val="en-US" w:eastAsia="en-AU"/>
    </w:rPr>
  </w:style>
  <w:style w:type="character" w:customStyle="1" w:styleId="Heading9Char">
    <w:name w:val="Heading 9 Char"/>
    <w:aliases w:val="Appendix H3 Char"/>
    <w:basedOn w:val="DefaultParagraphFont"/>
    <w:link w:val="Heading9"/>
    <w:uiPriority w:val="99"/>
    <w:rsid w:val="003718BF"/>
    <w:rPr>
      <w:rFonts w:asciiTheme="majorHAnsi" w:eastAsia="Times New Roman" w:hAnsiTheme="majorHAnsi" w:cs="Times New Roman"/>
      <w:bCs/>
      <w:color w:val="595959" w:themeColor="text1" w:themeTint="A6"/>
      <w:sz w:val="28"/>
      <w:szCs w:val="24"/>
      <w:lang w:val="en-US" w:eastAsia="en-AU"/>
    </w:rPr>
  </w:style>
  <w:style w:type="paragraph" w:customStyle="1" w:styleId="ListAlpha2">
    <w:name w:val="List Alpha 2"/>
    <w:basedOn w:val="ListAlpha0"/>
    <w:uiPriority w:val="19"/>
    <w:qFormat/>
    <w:rsid w:val="004F2A3C"/>
    <w:pPr>
      <w:numPr>
        <w:ilvl w:val="1"/>
      </w:numPr>
    </w:pPr>
  </w:style>
  <w:style w:type="paragraph" w:customStyle="1" w:styleId="ListAlpha3">
    <w:name w:val="List Alpha 3"/>
    <w:basedOn w:val="ListAlpha2"/>
    <w:uiPriority w:val="19"/>
    <w:qFormat/>
    <w:rsid w:val="004F2A3C"/>
    <w:pPr>
      <w:numPr>
        <w:ilvl w:val="2"/>
      </w:numPr>
    </w:pPr>
  </w:style>
  <w:style w:type="paragraph" w:customStyle="1" w:styleId="ListAlpha4">
    <w:name w:val="List Alpha 4"/>
    <w:basedOn w:val="ListAlpha3"/>
    <w:uiPriority w:val="19"/>
    <w:qFormat/>
    <w:rsid w:val="004F2A3C"/>
    <w:pPr>
      <w:numPr>
        <w:ilvl w:val="3"/>
      </w:numPr>
    </w:pPr>
  </w:style>
  <w:style w:type="paragraph" w:customStyle="1" w:styleId="ListAlpha6">
    <w:name w:val="List Alpha 6"/>
    <w:basedOn w:val="ListAlpha5"/>
    <w:uiPriority w:val="19"/>
    <w:qFormat/>
    <w:rsid w:val="004F2A3C"/>
    <w:pPr>
      <w:numPr>
        <w:ilvl w:val="5"/>
      </w:numPr>
    </w:pPr>
  </w:style>
  <w:style w:type="paragraph" w:customStyle="1" w:styleId="ListAlpha5">
    <w:name w:val="List Alpha 5"/>
    <w:basedOn w:val="ListAlpha4"/>
    <w:uiPriority w:val="19"/>
    <w:qFormat/>
    <w:rsid w:val="004F2A3C"/>
    <w:pPr>
      <w:numPr>
        <w:ilvl w:val="4"/>
      </w:numPr>
    </w:pPr>
  </w:style>
  <w:style w:type="paragraph" w:styleId="ListBullet2">
    <w:name w:val="List Bullet 2"/>
    <w:basedOn w:val="ListBullet0"/>
    <w:uiPriority w:val="19"/>
    <w:qFormat/>
    <w:rsid w:val="007314EE"/>
    <w:pPr>
      <w:numPr>
        <w:ilvl w:val="1"/>
      </w:numPr>
    </w:pPr>
  </w:style>
  <w:style w:type="paragraph" w:styleId="ListBullet3">
    <w:name w:val="List Bullet 3"/>
    <w:basedOn w:val="ListBullet0"/>
    <w:uiPriority w:val="19"/>
    <w:qFormat/>
    <w:rsid w:val="007314EE"/>
    <w:pPr>
      <w:numPr>
        <w:ilvl w:val="2"/>
      </w:numPr>
    </w:pPr>
  </w:style>
  <w:style w:type="paragraph" w:styleId="ListBullet4">
    <w:name w:val="List Bullet 4"/>
    <w:basedOn w:val="ListBullet0"/>
    <w:uiPriority w:val="19"/>
    <w:rsid w:val="007314EE"/>
    <w:pPr>
      <w:numPr>
        <w:ilvl w:val="3"/>
      </w:numPr>
    </w:pPr>
  </w:style>
  <w:style w:type="paragraph" w:styleId="ListBullet5">
    <w:name w:val="List Bullet 5"/>
    <w:basedOn w:val="ListBullet0"/>
    <w:uiPriority w:val="19"/>
    <w:rsid w:val="007314EE"/>
    <w:pPr>
      <w:numPr>
        <w:ilvl w:val="4"/>
      </w:numPr>
    </w:pPr>
  </w:style>
  <w:style w:type="paragraph" w:customStyle="1" w:styleId="ListBullet6">
    <w:name w:val="List Bullet 6"/>
    <w:basedOn w:val="ListBullet0"/>
    <w:uiPriority w:val="19"/>
    <w:rsid w:val="007314EE"/>
  </w:style>
  <w:style w:type="paragraph" w:styleId="ListNumber2">
    <w:name w:val="List Number 2"/>
    <w:basedOn w:val="ListNumber0"/>
    <w:uiPriority w:val="19"/>
    <w:rsid w:val="004F2A3C"/>
    <w:pPr>
      <w:numPr>
        <w:ilvl w:val="1"/>
      </w:numPr>
    </w:pPr>
  </w:style>
  <w:style w:type="paragraph" w:styleId="ListNumber3">
    <w:name w:val="List Number 3"/>
    <w:basedOn w:val="ListNumber0"/>
    <w:uiPriority w:val="19"/>
    <w:rsid w:val="004F2A3C"/>
    <w:pPr>
      <w:numPr>
        <w:ilvl w:val="2"/>
      </w:numPr>
    </w:pPr>
  </w:style>
  <w:style w:type="paragraph" w:styleId="ListNumber4">
    <w:name w:val="List Number 4"/>
    <w:basedOn w:val="ListNumber0"/>
    <w:uiPriority w:val="19"/>
    <w:rsid w:val="004F2A3C"/>
    <w:pPr>
      <w:numPr>
        <w:ilvl w:val="3"/>
      </w:numPr>
    </w:pPr>
  </w:style>
  <w:style w:type="paragraph" w:styleId="ListNumber5">
    <w:name w:val="List Number 5"/>
    <w:basedOn w:val="ListNumber0"/>
    <w:uiPriority w:val="19"/>
    <w:rsid w:val="004F2A3C"/>
    <w:pPr>
      <w:numPr>
        <w:ilvl w:val="4"/>
      </w:numPr>
    </w:pPr>
  </w:style>
  <w:style w:type="paragraph" w:customStyle="1" w:styleId="ListNumber6">
    <w:name w:val="List Number 6"/>
    <w:basedOn w:val="ListNumber0"/>
    <w:uiPriority w:val="19"/>
    <w:rsid w:val="004F2A3C"/>
    <w:pPr>
      <w:numPr>
        <w:ilvl w:val="5"/>
      </w:numPr>
    </w:pPr>
  </w:style>
  <w:style w:type="paragraph" w:customStyle="1" w:styleId="ListParagraph2">
    <w:name w:val="List Paragraph 2"/>
    <w:basedOn w:val="ListParagraph"/>
    <w:uiPriority w:val="19"/>
    <w:rsid w:val="004F2A3C"/>
    <w:pPr>
      <w:numPr>
        <w:ilvl w:val="1"/>
      </w:numPr>
    </w:pPr>
  </w:style>
  <w:style w:type="paragraph" w:customStyle="1" w:styleId="ListParagraph3">
    <w:name w:val="List Paragraph 3"/>
    <w:basedOn w:val="ListParagraph"/>
    <w:uiPriority w:val="19"/>
    <w:rsid w:val="004F2A3C"/>
    <w:pPr>
      <w:numPr>
        <w:ilvl w:val="2"/>
      </w:numPr>
    </w:pPr>
  </w:style>
  <w:style w:type="paragraph" w:customStyle="1" w:styleId="ListParagraph4">
    <w:name w:val="List Paragraph 4"/>
    <w:basedOn w:val="ListParagraph"/>
    <w:uiPriority w:val="19"/>
    <w:rsid w:val="004F2A3C"/>
    <w:pPr>
      <w:numPr>
        <w:ilvl w:val="3"/>
      </w:numPr>
    </w:pPr>
  </w:style>
  <w:style w:type="paragraph" w:customStyle="1" w:styleId="ListParagraph5">
    <w:name w:val="List Paragraph 5"/>
    <w:basedOn w:val="ListParagraph"/>
    <w:uiPriority w:val="19"/>
    <w:rsid w:val="004F2A3C"/>
    <w:pPr>
      <w:numPr>
        <w:ilvl w:val="4"/>
      </w:numPr>
    </w:pPr>
  </w:style>
  <w:style w:type="paragraph" w:customStyle="1" w:styleId="ListParagraph6">
    <w:name w:val="List Paragraph 6"/>
    <w:basedOn w:val="ListParagraph"/>
    <w:uiPriority w:val="19"/>
    <w:rsid w:val="004F2A3C"/>
    <w:pPr>
      <w:numPr>
        <w:ilvl w:val="5"/>
      </w:numPr>
    </w:pPr>
  </w:style>
  <w:style w:type="numbering" w:customStyle="1" w:styleId="ListBullet">
    <w:name w:val="List_Bullet"/>
    <w:uiPriority w:val="99"/>
    <w:rsid w:val="007314EE"/>
    <w:pPr>
      <w:numPr>
        <w:numId w:val="2"/>
      </w:numPr>
    </w:pPr>
  </w:style>
  <w:style w:type="numbering" w:customStyle="1" w:styleId="ListNumberedHeadings">
    <w:name w:val="List_NumberedHeadings"/>
    <w:uiPriority w:val="99"/>
    <w:rsid w:val="003718BF"/>
    <w:pPr>
      <w:numPr>
        <w:numId w:val="14"/>
      </w:numPr>
    </w:pPr>
  </w:style>
  <w:style w:type="numbering" w:customStyle="1" w:styleId="ListTableBullet">
    <w:name w:val="List_TableBullet"/>
    <w:uiPriority w:val="99"/>
    <w:rsid w:val="008A478B"/>
    <w:pPr>
      <w:numPr>
        <w:numId w:val="10"/>
      </w:numPr>
    </w:pPr>
  </w:style>
  <w:style w:type="numbering" w:customStyle="1" w:styleId="ListTableNumber">
    <w:name w:val="List_TableNumber"/>
    <w:uiPriority w:val="99"/>
    <w:rsid w:val="008A478B"/>
    <w:pPr>
      <w:numPr>
        <w:numId w:val="11"/>
      </w:numPr>
    </w:pPr>
  </w:style>
  <w:style w:type="paragraph" w:customStyle="1" w:styleId="TableBullet2">
    <w:name w:val="Table Bullet 2"/>
    <w:basedOn w:val="TableBullet"/>
    <w:uiPriority w:val="19"/>
    <w:rsid w:val="008A478B"/>
    <w:pPr>
      <w:numPr>
        <w:ilvl w:val="1"/>
      </w:numPr>
    </w:pPr>
  </w:style>
  <w:style w:type="paragraph" w:customStyle="1" w:styleId="TableNumber2">
    <w:name w:val="Table Number 2"/>
    <w:basedOn w:val="TableNumber"/>
    <w:uiPriority w:val="24"/>
    <w:rsid w:val="008A478B"/>
    <w:pPr>
      <w:numPr>
        <w:ilvl w:val="1"/>
      </w:numPr>
    </w:pPr>
  </w:style>
  <w:style w:type="paragraph" w:customStyle="1" w:styleId="BodyText4">
    <w:name w:val="Body Text 4"/>
    <w:basedOn w:val="BodyText3"/>
    <w:uiPriority w:val="99"/>
    <w:semiHidden/>
    <w:qFormat/>
    <w:rsid w:val="00444AE6"/>
    <w:pPr>
      <w:numPr>
        <w:ilvl w:val="3"/>
      </w:numPr>
    </w:pPr>
  </w:style>
  <w:style w:type="paragraph" w:customStyle="1" w:styleId="BodyText5">
    <w:name w:val="Body Text 5"/>
    <w:basedOn w:val="BodyText4"/>
    <w:uiPriority w:val="99"/>
    <w:semiHidden/>
    <w:qFormat/>
    <w:rsid w:val="00444AE6"/>
    <w:pPr>
      <w:numPr>
        <w:ilvl w:val="4"/>
      </w:numPr>
    </w:pPr>
  </w:style>
  <w:style w:type="paragraph" w:customStyle="1" w:styleId="BodyText6">
    <w:name w:val="Body Text 6"/>
    <w:basedOn w:val="BodyText5"/>
    <w:uiPriority w:val="99"/>
    <w:semiHidden/>
    <w:qFormat/>
    <w:rsid w:val="00444AE6"/>
    <w:pPr>
      <w:numPr>
        <w:ilvl w:val="5"/>
      </w:numPr>
    </w:pPr>
  </w:style>
  <w:style w:type="table" w:styleId="ColorfulGrid-Accent2">
    <w:name w:val="Colorful Grid Accent 2"/>
    <w:basedOn w:val="TableNormal"/>
    <w:uiPriority w:val="73"/>
    <w:semiHidden/>
    <w:unhideWhenUsed/>
    <w:rsid w:val="007D1864"/>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EF0D0" w:themeFill="accent2" w:themeFillTint="33"/>
    </w:tcPr>
    <w:tblStylePr w:type="firstRow">
      <w:rPr>
        <w:b/>
        <w:bCs/>
      </w:rPr>
      <w:tblPr/>
      <w:tcPr>
        <w:shd w:val="clear" w:color="auto" w:fill="FDE2A2" w:themeFill="accent2" w:themeFillTint="66"/>
      </w:tcPr>
    </w:tblStylePr>
    <w:tblStylePr w:type="lastRow">
      <w:rPr>
        <w:b/>
        <w:bCs/>
        <w:color w:val="000000" w:themeColor="text1"/>
      </w:rPr>
      <w:tblPr/>
      <w:tcPr>
        <w:shd w:val="clear" w:color="auto" w:fill="FDE2A2" w:themeFill="accent2" w:themeFillTint="66"/>
      </w:tcPr>
    </w:tblStylePr>
    <w:tblStylePr w:type="firstCol">
      <w:rPr>
        <w:color w:val="FFFFFF" w:themeColor="background1"/>
      </w:rPr>
      <w:tblPr/>
      <w:tcPr>
        <w:shd w:val="clear" w:color="auto" w:fill="CA8E02" w:themeFill="accent2" w:themeFillShade="BF"/>
      </w:tcPr>
    </w:tblStylePr>
    <w:tblStylePr w:type="lastCol">
      <w:rPr>
        <w:color w:val="FFFFFF" w:themeColor="background1"/>
      </w:rPr>
      <w:tblPr/>
      <w:tcPr>
        <w:shd w:val="clear" w:color="auto" w:fill="CA8E02" w:themeFill="accent2" w:themeFillShade="BF"/>
      </w:tcPr>
    </w:tblStylePr>
    <w:tblStylePr w:type="band1Vert">
      <w:tblPr/>
      <w:tcPr>
        <w:shd w:val="clear" w:color="auto" w:fill="FDDA8B" w:themeFill="accent2" w:themeFillTint="7F"/>
      </w:tcPr>
    </w:tblStylePr>
    <w:tblStylePr w:type="band1Horz">
      <w:tblPr/>
      <w:tcPr>
        <w:shd w:val="clear" w:color="auto" w:fill="FDDA8B" w:themeFill="accent2" w:themeFillTint="7F"/>
      </w:tcPr>
    </w:tblStylePr>
  </w:style>
  <w:style w:type="table" w:styleId="ColorfulGrid-Accent3">
    <w:name w:val="Colorful Grid Accent 3"/>
    <w:basedOn w:val="TableNormal"/>
    <w:uiPriority w:val="73"/>
    <w:semiHidden/>
    <w:unhideWhenUsed/>
    <w:rsid w:val="007D1864"/>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E1F0D8" w:themeFill="accent3" w:themeFillTint="33"/>
    </w:tcPr>
    <w:tblStylePr w:type="firstRow">
      <w:rPr>
        <w:b/>
        <w:bCs/>
      </w:rPr>
      <w:tblPr/>
      <w:tcPr>
        <w:shd w:val="clear" w:color="auto" w:fill="C4E2B2" w:themeFill="accent3" w:themeFillTint="66"/>
      </w:tcPr>
    </w:tblStylePr>
    <w:tblStylePr w:type="lastRow">
      <w:rPr>
        <w:b/>
        <w:bCs/>
        <w:color w:val="000000" w:themeColor="text1"/>
      </w:rPr>
      <w:tblPr/>
      <w:tcPr>
        <w:shd w:val="clear" w:color="auto" w:fill="C4E2B2" w:themeFill="accent3" w:themeFillTint="66"/>
      </w:tcPr>
    </w:tblStylePr>
    <w:tblStylePr w:type="firstCol">
      <w:rPr>
        <w:color w:val="FFFFFF" w:themeColor="background1"/>
      </w:rPr>
      <w:tblPr/>
      <w:tcPr>
        <w:shd w:val="clear" w:color="auto" w:fill="528633" w:themeFill="accent3" w:themeFillShade="BF"/>
      </w:tcPr>
    </w:tblStylePr>
    <w:tblStylePr w:type="lastCol">
      <w:rPr>
        <w:color w:val="FFFFFF" w:themeColor="background1"/>
      </w:rPr>
      <w:tblPr/>
      <w:tcPr>
        <w:shd w:val="clear" w:color="auto" w:fill="528633" w:themeFill="accent3" w:themeFillShade="BF"/>
      </w:tcPr>
    </w:tblStylePr>
    <w:tblStylePr w:type="band1Vert">
      <w:tblPr/>
      <w:tcPr>
        <w:shd w:val="clear" w:color="auto" w:fill="B6DBA0" w:themeFill="accent3" w:themeFillTint="7F"/>
      </w:tcPr>
    </w:tblStylePr>
    <w:tblStylePr w:type="band1Horz">
      <w:tblPr/>
      <w:tcPr>
        <w:shd w:val="clear" w:color="auto" w:fill="B6DBA0" w:themeFill="accent3" w:themeFillTint="7F"/>
      </w:tcPr>
    </w:tblStylePr>
  </w:style>
  <w:style w:type="table" w:styleId="ColorfulGrid-Accent4">
    <w:name w:val="Colorful Grid Accent 4"/>
    <w:basedOn w:val="TableNormal"/>
    <w:uiPriority w:val="73"/>
    <w:semiHidden/>
    <w:unhideWhenUsed/>
    <w:rsid w:val="007D1864"/>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FE5CC" w:themeFill="accent4" w:themeFillTint="33"/>
    </w:tcPr>
    <w:tblStylePr w:type="firstRow">
      <w:rPr>
        <w:b/>
        <w:bCs/>
      </w:rPr>
      <w:tblPr/>
      <w:tcPr>
        <w:shd w:val="clear" w:color="auto" w:fill="FFCC99" w:themeFill="accent4" w:themeFillTint="66"/>
      </w:tcPr>
    </w:tblStylePr>
    <w:tblStylePr w:type="lastRow">
      <w:rPr>
        <w:b/>
        <w:bCs/>
        <w:color w:val="000000" w:themeColor="text1"/>
      </w:rPr>
      <w:tblPr/>
      <w:tcPr>
        <w:shd w:val="clear" w:color="auto" w:fill="FFCC99" w:themeFill="accent4" w:themeFillTint="66"/>
      </w:tcPr>
    </w:tblStylePr>
    <w:tblStylePr w:type="firstCol">
      <w:rPr>
        <w:color w:val="FFFFFF" w:themeColor="background1"/>
      </w:rPr>
      <w:tblPr/>
      <w:tcPr>
        <w:shd w:val="clear" w:color="auto" w:fill="BF5F00" w:themeFill="accent4" w:themeFillShade="BF"/>
      </w:tcPr>
    </w:tblStylePr>
    <w:tblStylePr w:type="lastCol">
      <w:rPr>
        <w:color w:val="FFFFFF" w:themeColor="background1"/>
      </w:rPr>
      <w:tblPr/>
      <w:tcPr>
        <w:shd w:val="clear" w:color="auto" w:fill="BF5F00" w:themeFill="accent4" w:themeFillShade="BF"/>
      </w:tcPr>
    </w:tblStylePr>
    <w:tblStylePr w:type="band1Vert">
      <w:tblPr/>
      <w:tcPr>
        <w:shd w:val="clear" w:color="auto" w:fill="FFBF80" w:themeFill="accent4" w:themeFillTint="7F"/>
      </w:tcPr>
    </w:tblStylePr>
    <w:tblStylePr w:type="band1Horz">
      <w:tblPr/>
      <w:tcPr>
        <w:shd w:val="clear" w:color="auto" w:fill="FFBF80" w:themeFill="accent4" w:themeFillTint="7F"/>
      </w:tcPr>
    </w:tblStylePr>
  </w:style>
  <w:style w:type="character" w:styleId="PlaceholderText">
    <w:name w:val="Placeholder Text"/>
    <w:basedOn w:val="DefaultParagraphFont"/>
    <w:uiPriority w:val="99"/>
    <w:semiHidden/>
    <w:rsid w:val="002106C4"/>
    <w:rPr>
      <w:color w:val="808080"/>
    </w:rPr>
  </w:style>
  <w:style w:type="paragraph" w:customStyle="1" w:styleId="PulloutBoxText">
    <w:name w:val="Pullout Box Text"/>
    <w:basedOn w:val="Normal"/>
    <w:uiPriority w:val="7"/>
    <w:rsid w:val="00DE3549"/>
    <w:pPr>
      <w:spacing w:before="120" w:line="264" w:lineRule="auto"/>
      <w:jc w:val="center"/>
    </w:pPr>
    <w:rPr>
      <w:i/>
      <w:color w:val="FFFFFF" w:themeColor="background1"/>
      <w:sz w:val="28"/>
    </w:rPr>
  </w:style>
  <w:style w:type="paragraph" w:customStyle="1" w:styleId="AltHeading4">
    <w:name w:val="Alt Heading 4"/>
    <w:basedOn w:val="Heading4"/>
    <w:uiPriority w:val="1"/>
    <w:rsid w:val="003718BF"/>
    <w:pPr>
      <w:numPr>
        <w:ilvl w:val="0"/>
        <w:numId w:val="0"/>
      </w:numPr>
    </w:pPr>
  </w:style>
  <w:style w:type="paragraph" w:customStyle="1" w:styleId="AltHeading5">
    <w:name w:val="Alt Heading 5"/>
    <w:basedOn w:val="Heading5"/>
    <w:uiPriority w:val="1"/>
    <w:rsid w:val="003718BF"/>
    <w:pPr>
      <w:numPr>
        <w:ilvl w:val="0"/>
        <w:numId w:val="0"/>
      </w:numPr>
    </w:pPr>
  </w:style>
  <w:style w:type="paragraph" w:customStyle="1" w:styleId="AltHeading1">
    <w:name w:val="Alt Heading 1"/>
    <w:basedOn w:val="Heading1"/>
    <w:next w:val="BodyText"/>
    <w:uiPriority w:val="1"/>
    <w:qFormat/>
    <w:rsid w:val="003718BF"/>
    <w:pPr>
      <w:numPr>
        <w:numId w:val="0"/>
      </w:numPr>
    </w:pPr>
  </w:style>
  <w:style w:type="paragraph" w:customStyle="1" w:styleId="AltHeading2">
    <w:name w:val="Alt Heading 2"/>
    <w:basedOn w:val="Heading2"/>
    <w:next w:val="BodyText"/>
    <w:uiPriority w:val="1"/>
    <w:qFormat/>
    <w:rsid w:val="003718BF"/>
    <w:pPr>
      <w:numPr>
        <w:ilvl w:val="0"/>
        <w:numId w:val="0"/>
      </w:numPr>
    </w:pPr>
    <w:rPr>
      <w:bCs w:val="0"/>
      <w:iCs w:val="0"/>
    </w:rPr>
  </w:style>
  <w:style w:type="paragraph" w:customStyle="1" w:styleId="AltHeading3">
    <w:name w:val="Alt Heading 3"/>
    <w:basedOn w:val="Heading3"/>
    <w:next w:val="BodyText"/>
    <w:uiPriority w:val="1"/>
    <w:qFormat/>
    <w:rsid w:val="003718BF"/>
    <w:pPr>
      <w:numPr>
        <w:ilvl w:val="0"/>
        <w:numId w:val="0"/>
      </w:numPr>
    </w:pPr>
    <w:rPr>
      <w:bCs w:val="0"/>
    </w:rPr>
  </w:style>
  <w:style w:type="paragraph" w:customStyle="1" w:styleId="Disclaimer">
    <w:name w:val="Disclaimer"/>
    <w:basedOn w:val="BodyText"/>
    <w:uiPriority w:val="99"/>
    <w:rsid w:val="00A03815"/>
    <w:rPr>
      <w:sz w:val="18"/>
    </w:rPr>
  </w:style>
  <w:style w:type="paragraph" w:customStyle="1" w:styleId="Subject">
    <w:name w:val="Subject"/>
    <w:basedOn w:val="BodyText"/>
    <w:uiPriority w:val="99"/>
    <w:qFormat/>
    <w:rsid w:val="00523FDE"/>
    <w:pPr>
      <w:jc w:val="center"/>
    </w:pPr>
    <w:rPr>
      <w:rFonts w:asciiTheme="majorHAnsi" w:hAnsiTheme="majorHAnsi"/>
      <w:bCs/>
      <w:color w:val="595959" w:themeColor="text1" w:themeTint="A6"/>
      <w:sz w:val="28"/>
    </w:rPr>
  </w:style>
  <w:style w:type="paragraph" w:customStyle="1" w:styleId="CopyrightHeading">
    <w:name w:val="Copyright Heading"/>
    <w:basedOn w:val="AltHeading5"/>
    <w:next w:val="Normal"/>
    <w:link w:val="CopyrightHeadingChar"/>
    <w:uiPriority w:val="99"/>
    <w:rsid w:val="00896678"/>
  </w:style>
  <w:style w:type="character" w:customStyle="1" w:styleId="CopyrightHeadingChar">
    <w:name w:val="Copyright Heading Char"/>
    <w:basedOn w:val="DefaultParagraphFont"/>
    <w:link w:val="CopyrightHeading"/>
    <w:uiPriority w:val="99"/>
    <w:rsid w:val="00896678"/>
    <w:rPr>
      <w:rFonts w:asciiTheme="majorHAnsi" w:eastAsia="Times New Roman" w:hAnsiTheme="majorHAnsi" w:cs="Times New Roman"/>
      <w:b/>
      <w:bCs/>
      <w:iCs/>
      <w:caps/>
      <w:color w:val="595959" w:themeColor="text1" w:themeTint="A6"/>
      <w:sz w:val="18"/>
      <w:szCs w:val="26"/>
      <w:lang w:eastAsia="en-AU"/>
    </w:rPr>
  </w:style>
  <w:style w:type="character" w:customStyle="1" w:styleId="TableTextChar">
    <w:name w:val="Table Text Char"/>
    <w:basedOn w:val="TitleChar"/>
    <w:link w:val="TableText"/>
    <w:uiPriority w:val="3"/>
    <w:rsid w:val="00E964E1"/>
    <w:rPr>
      <w:rFonts w:asciiTheme="majorHAnsi" w:eastAsiaTheme="majorEastAsia" w:hAnsiTheme="majorHAnsi" w:cstheme="majorBidi"/>
      <w:color w:val="FFFFFF" w:themeColor="background1"/>
      <w:sz w:val="20"/>
      <w:szCs w:val="52"/>
    </w:rPr>
  </w:style>
  <w:style w:type="character" w:customStyle="1" w:styleId="TableHeadingChar">
    <w:name w:val="Table Heading Char"/>
    <w:basedOn w:val="TableTextChar"/>
    <w:link w:val="TableHeading"/>
    <w:uiPriority w:val="3"/>
    <w:rsid w:val="00E964E1"/>
    <w:rPr>
      <w:rFonts w:asciiTheme="majorHAnsi" w:eastAsiaTheme="majorEastAsia" w:hAnsiTheme="majorHAnsi" w:cstheme="majorBidi"/>
      <w:b/>
      <w:color w:val="FFFFFF" w:themeColor="background1"/>
      <w:sz w:val="20"/>
      <w:szCs w:val="52"/>
    </w:rPr>
  </w:style>
  <w:style w:type="paragraph" w:customStyle="1" w:styleId="FeatureHeading">
    <w:name w:val="Feature Heading"/>
    <w:basedOn w:val="AltHeading4"/>
    <w:uiPriority w:val="99"/>
    <w:qFormat/>
    <w:rsid w:val="008A478B"/>
    <w:pPr>
      <w:spacing w:before="0" w:after="0"/>
    </w:pPr>
    <w:rPr>
      <w:color w:val="FFFFFF" w:themeColor="background1"/>
      <w:lang w:val="en-US"/>
    </w:rPr>
  </w:style>
  <w:style w:type="character" w:customStyle="1" w:styleId="ListParagraphChar">
    <w:name w:val="List Paragraph Char"/>
    <w:basedOn w:val="DefaultParagraphFont"/>
    <w:link w:val="ListParagraph"/>
    <w:uiPriority w:val="34"/>
    <w:rsid w:val="00892FBE"/>
    <w:rPr>
      <w:rFonts w:eastAsia="Times New Roman" w:cs="Times New Roman"/>
      <w:sz w:val="20"/>
      <w:szCs w:val="24"/>
      <w:lang w:eastAsia="en-AU"/>
    </w:rPr>
  </w:style>
  <w:style w:type="character" w:customStyle="1" w:styleId="CaptionChar">
    <w:name w:val="Caption Char"/>
    <w:basedOn w:val="DefaultParagraphFont"/>
    <w:link w:val="Caption"/>
    <w:uiPriority w:val="99"/>
    <w:semiHidden/>
    <w:rsid w:val="00CA6913"/>
    <w:rPr>
      <w:i/>
      <w:color w:val="595959" w:themeColor="text1" w:themeTint="A6"/>
      <w:sz w:val="20"/>
    </w:rPr>
  </w:style>
  <w:style w:type="character" w:styleId="Emphasis">
    <w:name w:val="Emphasis"/>
    <w:uiPriority w:val="99"/>
    <w:qFormat/>
    <w:rsid w:val="00892FBE"/>
    <w:rPr>
      <w:b/>
      <w:color w:val="0078AE"/>
    </w:rPr>
  </w:style>
  <w:style w:type="paragraph" w:customStyle="1" w:styleId="TableSubheading">
    <w:name w:val="Table Subheading"/>
    <w:basedOn w:val="Normal"/>
    <w:uiPriority w:val="3"/>
    <w:qFormat/>
    <w:rsid w:val="008A478B"/>
    <w:pPr>
      <w:spacing w:before="60" w:after="60"/>
    </w:pPr>
    <w:rPr>
      <w:rFonts w:ascii="Arial" w:eastAsia="Times New Roman" w:hAnsi="Arial" w:cs="Times New Roman"/>
      <w:b/>
      <w:color w:val="595959" w:themeColor="text1" w:themeTint="A6"/>
      <w:szCs w:val="20"/>
    </w:rPr>
  </w:style>
  <w:style w:type="table" w:styleId="ColorfulGrid-Accent5">
    <w:name w:val="Colorful Grid Accent 5"/>
    <w:basedOn w:val="TableNormal"/>
    <w:uiPriority w:val="73"/>
    <w:semiHidden/>
    <w:unhideWhenUsed/>
    <w:rsid w:val="007D1864"/>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FC1D4" w:themeFill="accent5" w:themeFillTint="33"/>
    </w:tcPr>
    <w:tblStylePr w:type="firstRow">
      <w:rPr>
        <w:b/>
        <w:bCs/>
      </w:rPr>
      <w:tblPr/>
      <w:tcPr>
        <w:shd w:val="clear" w:color="auto" w:fill="FF84A9" w:themeFill="accent5" w:themeFillTint="66"/>
      </w:tcPr>
    </w:tblStylePr>
    <w:tblStylePr w:type="lastRow">
      <w:rPr>
        <w:b/>
        <w:bCs/>
        <w:color w:val="000000" w:themeColor="text1"/>
      </w:rPr>
      <w:tblPr/>
      <w:tcPr>
        <w:shd w:val="clear" w:color="auto" w:fill="FF84A9" w:themeFill="accent5" w:themeFillTint="66"/>
      </w:tcPr>
    </w:tblStylePr>
    <w:tblStylePr w:type="firstCol">
      <w:rPr>
        <w:color w:val="FFFFFF" w:themeColor="background1"/>
      </w:rPr>
      <w:tblPr/>
      <w:tcPr>
        <w:shd w:val="clear" w:color="auto" w:fill="98002E" w:themeFill="accent5" w:themeFillShade="BF"/>
      </w:tcPr>
    </w:tblStylePr>
    <w:tblStylePr w:type="lastCol">
      <w:rPr>
        <w:color w:val="FFFFFF" w:themeColor="background1"/>
      </w:rPr>
      <w:tblPr/>
      <w:tcPr>
        <w:shd w:val="clear" w:color="auto" w:fill="98002E" w:themeFill="accent5" w:themeFillShade="BF"/>
      </w:tcPr>
    </w:tblStylePr>
    <w:tblStylePr w:type="band1Vert">
      <w:tblPr/>
      <w:tcPr>
        <w:shd w:val="clear" w:color="auto" w:fill="FF6695" w:themeFill="accent5" w:themeFillTint="7F"/>
      </w:tcPr>
    </w:tblStylePr>
    <w:tblStylePr w:type="band1Horz">
      <w:tblPr/>
      <w:tcPr>
        <w:shd w:val="clear" w:color="auto" w:fill="FF6695" w:themeFill="accent5" w:themeFillTint="7F"/>
      </w:tcPr>
    </w:tblStylePr>
  </w:style>
  <w:style w:type="paragraph" w:customStyle="1" w:styleId="ClientName">
    <w:name w:val="Client Name"/>
    <w:basedOn w:val="Normal"/>
    <w:uiPriority w:val="99"/>
    <w:semiHidden/>
    <w:qFormat/>
    <w:rsid w:val="009041FC"/>
    <w:pPr>
      <w:spacing w:after="360"/>
    </w:pPr>
    <w:rPr>
      <w:color w:val="595959" w:themeColor="text1" w:themeTint="A6"/>
      <w:sz w:val="32"/>
    </w:rPr>
  </w:style>
  <w:style w:type="paragraph" w:customStyle="1" w:styleId="DocumentDate">
    <w:name w:val="Document Date"/>
    <w:basedOn w:val="ClientName"/>
    <w:uiPriority w:val="99"/>
    <w:semiHidden/>
    <w:qFormat/>
    <w:rsid w:val="008E7C7D"/>
  </w:style>
  <w:style w:type="paragraph" w:customStyle="1" w:styleId="DocumentNumber">
    <w:name w:val="Document Number"/>
    <w:basedOn w:val="Normal"/>
    <w:uiPriority w:val="99"/>
    <w:semiHidden/>
    <w:qFormat/>
    <w:rsid w:val="00F0337D"/>
    <w:pPr>
      <w:spacing w:line="140" w:lineRule="exact"/>
    </w:pPr>
    <w:rPr>
      <w:color w:val="A6A6A6" w:themeColor="background1" w:themeShade="A6"/>
      <w:sz w:val="16"/>
    </w:rPr>
  </w:style>
  <w:style w:type="table" w:styleId="ColorfulGrid-Accent6">
    <w:name w:val="Colorful Grid Accent 6"/>
    <w:basedOn w:val="TableNormal"/>
    <w:uiPriority w:val="73"/>
    <w:semiHidden/>
    <w:unhideWhenUsed/>
    <w:rsid w:val="007D1864"/>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EAD1E8" w:themeFill="accent6" w:themeFillTint="33"/>
    </w:tcPr>
    <w:tblStylePr w:type="firstRow">
      <w:rPr>
        <w:b/>
        <w:bCs/>
      </w:rPr>
      <w:tblPr/>
      <w:tcPr>
        <w:shd w:val="clear" w:color="auto" w:fill="D6A4D2" w:themeFill="accent6" w:themeFillTint="66"/>
      </w:tcPr>
    </w:tblStylePr>
    <w:tblStylePr w:type="lastRow">
      <w:rPr>
        <w:b/>
        <w:bCs/>
        <w:color w:val="000000" w:themeColor="text1"/>
      </w:rPr>
      <w:tblPr/>
      <w:tcPr>
        <w:shd w:val="clear" w:color="auto" w:fill="D6A4D2" w:themeFill="accent6" w:themeFillTint="66"/>
      </w:tcPr>
    </w:tblStylePr>
    <w:tblStylePr w:type="firstCol">
      <w:rPr>
        <w:color w:val="FFFFFF" w:themeColor="background1"/>
      </w:rPr>
      <w:tblPr/>
      <w:tcPr>
        <w:shd w:val="clear" w:color="auto" w:fill="5C2A58" w:themeFill="accent6" w:themeFillShade="BF"/>
      </w:tcPr>
    </w:tblStylePr>
    <w:tblStylePr w:type="lastCol">
      <w:rPr>
        <w:color w:val="FFFFFF" w:themeColor="background1"/>
      </w:rPr>
      <w:tblPr/>
      <w:tcPr>
        <w:shd w:val="clear" w:color="auto" w:fill="5C2A58" w:themeFill="accent6" w:themeFillShade="BF"/>
      </w:tcPr>
    </w:tblStylePr>
    <w:tblStylePr w:type="band1Vert">
      <w:tblPr/>
      <w:tcPr>
        <w:shd w:val="clear" w:color="auto" w:fill="CB8DC7" w:themeFill="accent6" w:themeFillTint="7F"/>
      </w:tcPr>
    </w:tblStylePr>
    <w:tblStylePr w:type="band1Horz">
      <w:tblPr/>
      <w:tcPr>
        <w:shd w:val="clear" w:color="auto" w:fill="CB8DC7" w:themeFill="accent6" w:themeFillTint="7F"/>
      </w:tcPr>
    </w:tblStylePr>
  </w:style>
  <w:style w:type="table" w:customStyle="1" w:styleId="TableNoBorders">
    <w:name w:val="Table No Borders"/>
    <w:basedOn w:val="TableNormal"/>
    <w:uiPriority w:val="99"/>
    <w:rsid w:val="008A478B"/>
    <w:pPr>
      <w:spacing w:before="0" w:after="0"/>
    </w:pPr>
    <w:rPr>
      <w:sz w:val="20"/>
    </w:rPr>
    <w:tblPr>
      <w:tblCellMar>
        <w:left w:w="0" w:type="dxa"/>
        <w:right w:w="0" w:type="dxa"/>
      </w:tblCellMar>
    </w:tblPr>
  </w:style>
  <w:style w:type="paragraph" w:customStyle="1" w:styleId="Address">
    <w:name w:val="Address"/>
    <w:basedOn w:val="Normal"/>
    <w:uiPriority w:val="99"/>
    <w:qFormat/>
    <w:rsid w:val="00380846"/>
    <w:pPr>
      <w:tabs>
        <w:tab w:val="left" w:pos="1276"/>
      </w:tabs>
      <w:spacing w:before="80" w:after="80"/>
    </w:pPr>
  </w:style>
  <w:style w:type="paragraph" w:customStyle="1" w:styleId="BodyTextHighlight">
    <w:name w:val="Body Text Highlight"/>
    <w:basedOn w:val="BodyText"/>
    <w:qFormat/>
    <w:rsid w:val="00CE4C5E"/>
    <w:rPr>
      <w:i/>
      <w:color w:val="0278AD" w:themeColor="accent1"/>
    </w:rPr>
  </w:style>
  <w:style w:type="numbering" w:customStyle="1" w:styleId="ListAppendix">
    <w:name w:val="List_Appendix"/>
    <w:uiPriority w:val="99"/>
    <w:rsid w:val="008E5DA2"/>
    <w:pPr>
      <w:numPr>
        <w:numId w:val="9"/>
      </w:numPr>
    </w:pPr>
  </w:style>
  <w:style w:type="character" w:styleId="CommentReference">
    <w:name w:val="annotation reference"/>
    <w:basedOn w:val="DefaultParagraphFont"/>
    <w:uiPriority w:val="99"/>
    <w:semiHidden/>
    <w:unhideWhenUsed/>
    <w:rsid w:val="00AD3C07"/>
    <w:rPr>
      <w:sz w:val="16"/>
      <w:szCs w:val="16"/>
    </w:rPr>
  </w:style>
  <w:style w:type="paragraph" w:styleId="CommentText">
    <w:name w:val="annotation text"/>
    <w:basedOn w:val="Normal"/>
    <w:link w:val="CommentTextChar"/>
    <w:uiPriority w:val="99"/>
    <w:unhideWhenUsed/>
    <w:rsid w:val="00AD3C07"/>
    <w:rPr>
      <w:szCs w:val="20"/>
    </w:rPr>
  </w:style>
  <w:style w:type="character" w:customStyle="1" w:styleId="CommentTextChar">
    <w:name w:val="Comment Text Char"/>
    <w:basedOn w:val="DefaultParagraphFont"/>
    <w:link w:val="CommentText"/>
    <w:uiPriority w:val="99"/>
    <w:rsid w:val="00AD3C07"/>
    <w:rPr>
      <w:sz w:val="20"/>
      <w:szCs w:val="20"/>
    </w:rPr>
  </w:style>
  <w:style w:type="paragraph" w:customStyle="1" w:styleId="BackCoverOfficeTitle">
    <w:name w:val="Back Cover Office Title"/>
    <w:basedOn w:val="AltHeading2"/>
    <w:uiPriority w:val="99"/>
    <w:semiHidden/>
    <w:qFormat/>
    <w:rsid w:val="001C5D39"/>
    <w:pPr>
      <w:framePr w:hSpace="181" w:wrap="around" w:vAnchor="text" w:hAnchor="margin" w:y="2187"/>
      <w:tabs>
        <w:tab w:val="left" w:pos="1418"/>
      </w:tabs>
      <w:spacing w:before="360" w:after="80"/>
      <w:outlineLvl w:val="9"/>
    </w:pPr>
    <w:rPr>
      <w:color w:val="0278AD" w:themeColor="accent1"/>
      <w:sz w:val="32"/>
    </w:rPr>
  </w:style>
  <w:style w:type="paragraph" w:customStyle="1" w:styleId="BackCoverAddress">
    <w:name w:val="Back Cover Address"/>
    <w:basedOn w:val="Address"/>
    <w:uiPriority w:val="99"/>
    <w:semiHidden/>
    <w:qFormat/>
    <w:rsid w:val="00732853"/>
    <w:pPr>
      <w:framePr w:hSpace="181" w:wrap="around" w:vAnchor="text" w:hAnchor="margin" w:y="2187"/>
      <w:tabs>
        <w:tab w:val="clear" w:pos="1276"/>
        <w:tab w:val="left" w:pos="1418"/>
      </w:tabs>
      <w:spacing w:before="0" w:after="0"/>
    </w:pPr>
    <w:rPr>
      <w:color w:val="595959" w:themeColor="text1" w:themeTint="A6"/>
      <w:sz w:val="24"/>
    </w:rPr>
  </w:style>
  <w:style w:type="table" w:styleId="ColorfulList">
    <w:name w:val="Colorful List"/>
    <w:basedOn w:val="TableNormal"/>
    <w:uiPriority w:val="72"/>
    <w:semiHidden/>
    <w:unhideWhenUsed/>
    <w:rsid w:val="007D1864"/>
    <w:pPr>
      <w:spacing w:before="0" w:after="0"/>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99803" w:themeFill="accent2" w:themeFillShade="CC"/>
      </w:tcPr>
    </w:tblStylePr>
    <w:tblStylePr w:type="lastRow">
      <w:rPr>
        <w:b/>
        <w:bCs/>
        <w:color w:val="D9980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7D1864"/>
    <w:pPr>
      <w:spacing w:before="0" w:after="0"/>
    </w:pPr>
    <w:rPr>
      <w:color w:val="000000" w:themeColor="text1"/>
    </w:rPr>
    <w:tblPr>
      <w:tblStyleRowBandSize w:val="1"/>
      <w:tblStyleColBandSize w:val="1"/>
    </w:tblPr>
    <w:tcPr>
      <w:shd w:val="clear" w:color="auto" w:fill="DEF4FE" w:themeFill="accent1" w:themeFillTint="19"/>
    </w:tcPr>
    <w:tblStylePr w:type="firstRow">
      <w:rPr>
        <w:b/>
        <w:bCs/>
        <w:color w:val="FFFFFF" w:themeColor="background1"/>
      </w:rPr>
      <w:tblPr/>
      <w:tcPr>
        <w:tcBorders>
          <w:bottom w:val="single" w:sz="12" w:space="0" w:color="FFFFFF" w:themeColor="background1"/>
        </w:tcBorders>
        <w:shd w:val="clear" w:color="auto" w:fill="D99803" w:themeFill="accent2" w:themeFillShade="CC"/>
      </w:tcPr>
    </w:tblStylePr>
    <w:tblStylePr w:type="lastRow">
      <w:rPr>
        <w:b/>
        <w:bCs/>
        <w:color w:val="D9980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E4FE" w:themeFill="accent1" w:themeFillTint="3F"/>
      </w:tcPr>
    </w:tblStylePr>
    <w:tblStylePr w:type="band1Horz">
      <w:tblPr/>
      <w:tcPr>
        <w:shd w:val="clear" w:color="auto" w:fill="BCE9FE" w:themeFill="accent1" w:themeFillTint="33"/>
      </w:tcPr>
    </w:tblStylePr>
  </w:style>
  <w:style w:type="table" w:styleId="ColorfulList-Accent2">
    <w:name w:val="Colorful List Accent 2"/>
    <w:basedOn w:val="TableNormal"/>
    <w:uiPriority w:val="72"/>
    <w:semiHidden/>
    <w:unhideWhenUsed/>
    <w:rsid w:val="007D1864"/>
    <w:pPr>
      <w:spacing w:before="0" w:after="0"/>
    </w:pPr>
    <w:rPr>
      <w:color w:val="000000" w:themeColor="text1"/>
    </w:rPr>
    <w:tblPr>
      <w:tblStyleRowBandSize w:val="1"/>
      <w:tblStyleColBandSize w:val="1"/>
    </w:tblPr>
    <w:tcPr>
      <w:shd w:val="clear" w:color="auto" w:fill="FEF7E7" w:themeFill="accent2" w:themeFillTint="19"/>
    </w:tcPr>
    <w:tblStylePr w:type="firstRow">
      <w:rPr>
        <w:b/>
        <w:bCs/>
        <w:color w:val="FFFFFF" w:themeColor="background1"/>
      </w:rPr>
      <w:tblPr/>
      <w:tcPr>
        <w:tcBorders>
          <w:bottom w:val="single" w:sz="12" w:space="0" w:color="FFFFFF" w:themeColor="background1"/>
        </w:tcBorders>
        <w:shd w:val="clear" w:color="auto" w:fill="D99803" w:themeFill="accent2" w:themeFillShade="CC"/>
      </w:tcPr>
    </w:tblStylePr>
    <w:tblStylePr w:type="lastRow">
      <w:rPr>
        <w:b/>
        <w:bCs/>
        <w:color w:val="D9980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EDC5" w:themeFill="accent2" w:themeFillTint="3F"/>
      </w:tcPr>
    </w:tblStylePr>
    <w:tblStylePr w:type="band1Horz">
      <w:tblPr/>
      <w:tcPr>
        <w:shd w:val="clear" w:color="auto" w:fill="FEF0D0" w:themeFill="accent2" w:themeFillTint="33"/>
      </w:tcPr>
    </w:tblStylePr>
  </w:style>
  <w:style w:type="table" w:styleId="ColorfulList-Accent3">
    <w:name w:val="Colorful List Accent 3"/>
    <w:basedOn w:val="TableNormal"/>
    <w:uiPriority w:val="72"/>
    <w:semiHidden/>
    <w:unhideWhenUsed/>
    <w:rsid w:val="007D1864"/>
    <w:pPr>
      <w:spacing w:before="0" w:after="0"/>
    </w:pPr>
    <w:rPr>
      <w:color w:val="000000" w:themeColor="text1"/>
    </w:rPr>
    <w:tblPr>
      <w:tblStyleRowBandSize w:val="1"/>
      <w:tblStyleColBandSize w:val="1"/>
    </w:tblPr>
    <w:tcPr>
      <w:shd w:val="clear" w:color="auto" w:fill="F0F8EC" w:themeFill="accent3" w:themeFillTint="19"/>
    </w:tcPr>
    <w:tblStylePr w:type="firstRow">
      <w:rPr>
        <w:b/>
        <w:bCs/>
        <w:color w:val="FFFFFF" w:themeColor="background1"/>
      </w:rPr>
      <w:tblPr/>
      <w:tcPr>
        <w:tcBorders>
          <w:bottom w:val="single" w:sz="12" w:space="0" w:color="FFFFFF" w:themeColor="background1"/>
        </w:tcBorders>
        <w:shd w:val="clear" w:color="auto" w:fill="CC6600" w:themeFill="accent4" w:themeFillShade="CC"/>
      </w:tcPr>
    </w:tblStylePr>
    <w:tblStylePr w:type="lastRow">
      <w:rPr>
        <w:b/>
        <w:bCs/>
        <w:color w:val="CC66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AEDCF" w:themeFill="accent3" w:themeFillTint="3F"/>
      </w:tcPr>
    </w:tblStylePr>
    <w:tblStylePr w:type="band1Horz">
      <w:tblPr/>
      <w:tcPr>
        <w:shd w:val="clear" w:color="auto" w:fill="E1F0D8" w:themeFill="accent3" w:themeFillTint="33"/>
      </w:tcPr>
    </w:tblStylePr>
  </w:style>
  <w:style w:type="table" w:styleId="ColorfulList-Accent4">
    <w:name w:val="Colorful List Accent 4"/>
    <w:basedOn w:val="TableNormal"/>
    <w:uiPriority w:val="72"/>
    <w:semiHidden/>
    <w:unhideWhenUsed/>
    <w:rsid w:val="007D1864"/>
    <w:pPr>
      <w:spacing w:before="0" w:after="0"/>
    </w:pPr>
    <w:rPr>
      <w:color w:val="000000" w:themeColor="text1"/>
    </w:rPr>
    <w:tblPr>
      <w:tblStyleRowBandSize w:val="1"/>
      <w:tblStyleColBandSize w:val="1"/>
    </w:tblPr>
    <w:tcPr>
      <w:shd w:val="clear" w:color="auto" w:fill="FFF2E6" w:themeFill="accent4" w:themeFillTint="19"/>
    </w:tcPr>
    <w:tblStylePr w:type="firstRow">
      <w:rPr>
        <w:b/>
        <w:bCs/>
        <w:color w:val="FFFFFF" w:themeColor="background1"/>
      </w:rPr>
      <w:tblPr/>
      <w:tcPr>
        <w:tcBorders>
          <w:bottom w:val="single" w:sz="12" w:space="0" w:color="FFFFFF" w:themeColor="background1"/>
        </w:tcBorders>
        <w:shd w:val="clear" w:color="auto" w:fill="578F36" w:themeFill="accent3" w:themeFillShade="CC"/>
      </w:tcPr>
    </w:tblStylePr>
    <w:tblStylePr w:type="lastRow">
      <w:rPr>
        <w:b/>
        <w:bCs/>
        <w:color w:val="578F3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DFC0" w:themeFill="accent4" w:themeFillTint="3F"/>
      </w:tcPr>
    </w:tblStylePr>
    <w:tblStylePr w:type="band1Horz">
      <w:tblPr/>
      <w:tcPr>
        <w:shd w:val="clear" w:color="auto" w:fill="FFE5CC" w:themeFill="accent4" w:themeFillTint="33"/>
      </w:tcPr>
    </w:tblStylePr>
  </w:style>
  <w:style w:type="table" w:styleId="ColorfulList-Accent5">
    <w:name w:val="Colorful List Accent 5"/>
    <w:basedOn w:val="TableNormal"/>
    <w:uiPriority w:val="72"/>
    <w:semiHidden/>
    <w:unhideWhenUsed/>
    <w:rsid w:val="007D1864"/>
    <w:pPr>
      <w:spacing w:before="0" w:after="0"/>
    </w:pPr>
    <w:rPr>
      <w:color w:val="000000" w:themeColor="text1"/>
    </w:rPr>
    <w:tblPr>
      <w:tblStyleRowBandSize w:val="1"/>
      <w:tblStyleColBandSize w:val="1"/>
    </w:tblPr>
    <w:tcPr>
      <w:shd w:val="clear" w:color="auto" w:fill="FFE1EA" w:themeFill="accent5" w:themeFillTint="19"/>
    </w:tcPr>
    <w:tblStylePr w:type="firstRow">
      <w:rPr>
        <w:b/>
        <w:bCs/>
        <w:color w:val="FFFFFF" w:themeColor="background1"/>
      </w:rPr>
      <w:tblPr/>
      <w:tcPr>
        <w:tcBorders>
          <w:bottom w:val="single" w:sz="12" w:space="0" w:color="FFFFFF" w:themeColor="background1"/>
        </w:tcBorders>
        <w:shd w:val="clear" w:color="auto" w:fill="632C5F" w:themeFill="accent6" w:themeFillShade="CC"/>
      </w:tcPr>
    </w:tblStylePr>
    <w:tblStylePr w:type="lastRow">
      <w:rPr>
        <w:b/>
        <w:bCs/>
        <w:color w:val="632C5F"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B3CA" w:themeFill="accent5" w:themeFillTint="3F"/>
      </w:tcPr>
    </w:tblStylePr>
    <w:tblStylePr w:type="band1Horz">
      <w:tblPr/>
      <w:tcPr>
        <w:shd w:val="clear" w:color="auto" w:fill="FFC1D4" w:themeFill="accent5" w:themeFillTint="33"/>
      </w:tcPr>
    </w:tblStylePr>
  </w:style>
  <w:style w:type="table" w:styleId="ColorfulList-Accent6">
    <w:name w:val="Colorful List Accent 6"/>
    <w:basedOn w:val="TableNormal"/>
    <w:uiPriority w:val="72"/>
    <w:semiHidden/>
    <w:unhideWhenUsed/>
    <w:rsid w:val="007D1864"/>
    <w:pPr>
      <w:spacing w:before="0" w:after="0"/>
    </w:pPr>
    <w:rPr>
      <w:color w:val="000000" w:themeColor="text1"/>
    </w:rPr>
    <w:tblPr>
      <w:tblStyleRowBandSize w:val="1"/>
      <w:tblStyleColBandSize w:val="1"/>
    </w:tblPr>
    <w:tcPr>
      <w:shd w:val="clear" w:color="auto" w:fill="F5E8F4" w:themeFill="accent6" w:themeFillTint="19"/>
    </w:tcPr>
    <w:tblStylePr w:type="firstRow">
      <w:rPr>
        <w:b/>
        <w:bCs/>
        <w:color w:val="FFFFFF" w:themeColor="background1"/>
      </w:rPr>
      <w:tblPr/>
      <w:tcPr>
        <w:tcBorders>
          <w:bottom w:val="single" w:sz="12" w:space="0" w:color="FFFFFF" w:themeColor="background1"/>
        </w:tcBorders>
        <w:shd w:val="clear" w:color="auto" w:fill="A30031" w:themeFill="accent5" w:themeFillShade="CC"/>
      </w:tcPr>
    </w:tblStylePr>
    <w:tblStylePr w:type="lastRow">
      <w:rPr>
        <w:b/>
        <w:bCs/>
        <w:color w:val="A3003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C6E3" w:themeFill="accent6" w:themeFillTint="3F"/>
      </w:tcPr>
    </w:tblStylePr>
    <w:tblStylePr w:type="band1Horz">
      <w:tblPr/>
      <w:tcPr>
        <w:shd w:val="clear" w:color="auto" w:fill="EAD1E8" w:themeFill="accent6" w:themeFillTint="33"/>
      </w:tcPr>
    </w:tblStylePr>
  </w:style>
  <w:style w:type="table" w:styleId="ColorfulShading">
    <w:name w:val="Colorful Shading"/>
    <w:basedOn w:val="TableNormal"/>
    <w:uiPriority w:val="71"/>
    <w:semiHidden/>
    <w:unhideWhenUsed/>
    <w:rsid w:val="007D1864"/>
    <w:pPr>
      <w:spacing w:before="0" w:after="0"/>
    </w:pPr>
    <w:rPr>
      <w:color w:val="000000" w:themeColor="text1"/>
    </w:rPr>
    <w:tblPr>
      <w:tblStyleRowBandSize w:val="1"/>
      <w:tblStyleColBandSize w:val="1"/>
      <w:tblBorders>
        <w:top w:val="single" w:sz="24" w:space="0" w:color="FCB717"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FCB71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7D1864"/>
    <w:pPr>
      <w:spacing w:before="0" w:after="0"/>
    </w:pPr>
    <w:rPr>
      <w:color w:val="000000" w:themeColor="text1"/>
    </w:rPr>
    <w:tblPr>
      <w:tblStyleRowBandSize w:val="1"/>
      <w:tblStyleColBandSize w:val="1"/>
      <w:tblBorders>
        <w:top w:val="single" w:sz="24" w:space="0" w:color="FCB717" w:themeColor="accent2"/>
        <w:left w:val="single" w:sz="4" w:space="0" w:color="0278AD" w:themeColor="accent1"/>
        <w:bottom w:val="single" w:sz="4" w:space="0" w:color="0278AD" w:themeColor="accent1"/>
        <w:right w:val="single" w:sz="4" w:space="0" w:color="0278AD" w:themeColor="accent1"/>
        <w:insideH w:val="single" w:sz="4" w:space="0" w:color="FFFFFF" w:themeColor="background1"/>
        <w:insideV w:val="single" w:sz="4" w:space="0" w:color="FFFFFF" w:themeColor="background1"/>
      </w:tblBorders>
    </w:tblPr>
    <w:tcPr>
      <w:shd w:val="clear" w:color="auto" w:fill="DEF4FE" w:themeFill="accent1" w:themeFillTint="19"/>
    </w:tcPr>
    <w:tblStylePr w:type="firstRow">
      <w:rPr>
        <w:b/>
        <w:bCs/>
      </w:rPr>
      <w:tblPr/>
      <w:tcPr>
        <w:tcBorders>
          <w:top w:val="nil"/>
          <w:left w:val="nil"/>
          <w:bottom w:val="single" w:sz="24" w:space="0" w:color="FCB71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4767" w:themeFill="accent1" w:themeFillShade="99"/>
      </w:tcPr>
    </w:tblStylePr>
    <w:tblStylePr w:type="firstCol">
      <w:rPr>
        <w:color w:val="FFFFFF" w:themeColor="background1"/>
      </w:rPr>
      <w:tblPr/>
      <w:tcPr>
        <w:tcBorders>
          <w:top w:val="nil"/>
          <w:left w:val="nil"/>
          <w:bottom w:val="nil"/>
          <w:right w:val="nil"/>
          <w:insideH w:val="single" w:sz="4" w:space="0" w:color="014767" w:themeColor="accent1" w:themeShade="99"/>
          <w:insideV w:val="nil"/>
        </w:tcBorders>
        <w:shd w:val="clear" w:color="auto" w:fill="014767"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14767" w:themeFill="accent1" w:themeFillShade="99"/>
      </w:tcPr>
    </w:tblStylePr>
    <w:tblStylePr w:type="band1Vert">
      <w:tblPr/>
      <w:tcPr>
        <w:shd w:val="clear" w:color="auto" w:fill="7AD4FD" w:themeFill="accent1" w:themeFillTint="66"/>
      </w:tcPr>
    </w:tblStylePr>
    <w:tblStylePr w:type="band1Horz">
      <w:tblPr/>
      <w:tcPr>
        <w:shd w:val="clear" w:color="auto" w:fill="59C9FD"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7D1864"/>
    <w:pPr>
      <w:spacing w:before="0" w:after="0"/>
    </w:pPr>
    <w:rPr>
      <w:color w:val="000000" w:themeColor="text1"/>
    </w:rPr>
    <w:tblPr>
      <w:tblStyleRowBandSize w:val="1"/>
      <w:tblStyleColBandSize w:val="1"/>
      <w:tblBorders>
        <w:top w:val="single" w:sz="24" w:space="0" w:color="FCB717" w:themeColor="accent2"/>
        <w:left w:val="single" w:sz="4" w:space="0" w:color="FCB717" w:themeColor="accent2"/>
        <w:bottom w:val="single" w:sz="4" w:space="0" w:color="FCB717" w:themeColor="accent2"/>
        <w:right w:val="single" w:sz="4" w:space="0" w:color="FCB717" w:themeColor="accent2"/>
        <w:insideH w:val="single" w:sz="4" w:space="0" w:color="FFFFFF" w:themeColor="background1"/>
        <w:insideV w:val="single" w:sz="4" w:space="0" w:color="FFFFFF" w:themeColor="background1"/>
      </w:tblBorders>
    </w:tblPr>
    <w:tcPr>
      <w:shd w:val="clear" w:color="auto" w:fill="FEF7E7" w:themeFill="accent2" w:themeFillTint="19"/>
    </w:tcPr>
    <w:tblStylePr w:type="firstRow">
      <w:rPr>
        <w:b/>
        <w:bCs/>
      </w:rPr>
      <w:tblPr/>
      <w:tcPr>
        <w:tcBorders>
          <w:top w:val="nil"/>
          <w:left w:val="nil"/>
          <w:bottom w:val="single" w:sz="24" w:space="0" w:color="FCB717"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27202" w:themeFill="accent2" w:themeFillShade="99"/>
      </w:tcPr>
    </w:tblStylePr>
    <w:tblStylePr w:type="firstCol">
      <w:rPr>
        <w:color w:val="FFFFFF" w:themeColor="background1"/>
      </w:rPr>
      <w:tblPr/>
      <w:tcPr>
        <w:tcBorders>
          <w:top w:val="nil"/>
          <w:left w:val="nil"/>
          <w:bottom w:val="nil"/>
          <w:right w:val="nil"/>
          <w:insideH w:val="single" w:sz="4" w:space="0" w:color="A27202" w:themeColor="accent2" w:themeShade="99"/>
          <w:insideV w:val="nil"/>
        </w:tcBorders>
        <w:shd w:val="clear" w:color="auto" w:fill="A2720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A27202" w:themeFill="accent2" w:themeFillShade="99"/>
      </w:tcPr>
    </w:tblStylePr>
    <w:tblStylePr w:type="band1Vert">
      <w:tblPr/>
      <w:tcPr>
        <w:shd w:val="clear" w:color="auto" w:fill="FDE2A2" w:themeFill="accent2" w:themeFillTint="66"/>
      </w:tcPr>
    </w:tblStylePr>
    <w:tblStylePr w:type="band1Horz">
      <w:tblPr/>
      <w:tcPr>
        <w:shd w:val="clear" w:color="auto" w:fill="FDDA8B"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7D1864"/>
    <w:pPr>
      <w:spacing w:before="0" w:after="0"/>
    </w:pPr>
    <w:rPr>
      <w:color w:val="000000" w:themeColor="text1"/>
    </w:rPr>
    <w:tblPr>
      <w:tblStyleRowBandSize w:val="1"/>
      <w:tblStyleColBandSize w:val="1"/>
      <w:tblBorders>
        <w:top w:val="single" w:sz="24" w:space="0" w:color="FF8000" w:themeColor="accent4"/>
        <w:left w:val="single" w:sz="4" w:space="0" w:color="6EB444" w:themeColor="accent3"/>
        <w:bottom w:val="single" w:sz="4" w:space="0" w:color="6EB444" w:themeColor="accent3"/>
        <w:right w:val="single" w:sz="4" w:space="0" w:color="6EB444" w:themeColor="accent3"/>
        <w:insideH w:val="single" w:sz="4" w:space="0" w:color="FFFFFF" w:themeColor="background1"/>
        <w:insideV w:val="single" w:sz="4" w:space="0" w:color="FFFFFF" w:themeColor="background1"/>
      </w:tblBorders>
    </w:tblPr>
    <w:tcPr>
      <w:shd w:val="clear" w:color="auto" w:fill="F0F8EC" w:themeFill="accent3" w:themeFillTint="19"/>
    </w:tcPr>
    <w:tblStylePr w:type="firstRow">
      <w:rPr>
        <w:b/>
        <w:bCs/>
      </w:rPr>
      <w:tblPr/>
      <w:tcPr>
        <w:tcBorders>
          <w:top w:val="nil"/>
          <w:left w:val="nil"/>
          <w:bottom w:val="single" w:sz="24" w:space="0" w:color="FF8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16B28" w:themeFill="accent3" w:themeFillShade="99"/>
      </w:tcPr>
    </w:tblStylePr>
    <w:tblStylePr w:type="firstCol">
      <w:rPr>
        <w:color w:val="FFFFFF" w:themeColor="background1"/>
      </w:rPr>
      <w:tblPr/>
      <w:tcPr>
        <w:tcBorders>
          <w:top w:val="nil"/>
          <w:left w:val="nil"/>
          <w:bottom w:val="nil"/>
          <w:right w:val="nil"/>
          <w:insideH w:val="single" w:sz="4" w:space="0" w:color="416B28" w:themeColor="accent3" w:themeShade="99"/>
          <w:insideV w:val="nil"/>
        </w:tcBorders>
        <w:shd w:val="clear" w:color="auto" w:fill="416B28"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16B28" w:themeFill="accent3" w:themeFillShade="99"/>
      </w:tcPr>
    </w:tblStylePr>
    <w:tblStylePr w:type="band1Vert">
      <w:tblPr/>
      <w:tcPr>
        <w:shd w:val="clear" w:color="auto" w:fill="C4E2B2" w:themeFill="accent3" w:themeFillTint="66"/>
      </w:tcPr>
    </w:tblStylePr>
    <w:tblStylePr w:type="band1Horz">
      <w:tblPr/>
      <w:tcPr>
        <w:shd w:val="clear" w:color="auto" w:fill="B6DBA0" w:themeFill="accent3" w:themeFillTint="7F"/>
      </w:tcPr>
    </w:tblStylePr>
  </w:style>
  <w:style w:type="table" w:styleId="ColorfulShading-Accent4">
    <w:name w:val="Colorful Shading Accent 4"/>
    <w:basedOn w:val="TableNormal"/>
    <w:uiPriority w:val="71"/>
    <w:semiHidden/>
    <w:unhideWhenUsed/>
    <w:rsid w:val="007D1864"/>
    <w:pPr>
      <w:spacing w:before="0" w:after="0"/>
    </w:pPr>
    <w:rPr>
      <w:color w:val="000000" w:themeColor="text1"/>
    </w:rPr>
    <w:tblPr>
      <w:tblStyleRowBandSize w:val="1"/>
      <w:tblStyleColBandSize w:val="1"/>
      <w:tblBorders>
        <w:top w:val="single" w:sz="24" w:space="0" w:color="6EB444" w:themeColor="accent3"/>
        <w:left w:val="single" w:sz="4" w:space="0" w:color="FF8000" w:themeColor="accent4"/>
        <w:bottom w:val="single" w:sz="4" w:space="0" w:color="FF8000" w:themeColor="accent4"/>
        <w:right w:val="single" w:sz="4" w:space="0" w:color="FF8000" w:themeColor="accent4"/>
        <w:insideH w:val="single" w:sz="4" w:space="0" w:color="FFFFFF" w:themeColor="background1"/>
        <w:insideV w:val="single" w:sz="4" w:space="0" w:color="FFFFFF" w:themeColor="background1"/>
      </w:tblBorders>
    </w:tblPr>
    <w:tcPr>
      <w:shd w:val="clear" w:color="auto" w:fill="FFF2E6" w:themeFill="accent4" w:themeFillTint="19"/>
    </w:tcPr>
    <w:tblStylePr w:type="firstRow">
      <w:rPr>
        <w:b/>
        <w:bCs/>
      </w:rPr>
      <w:tblPr/>
      <w:tcPr>
        <w:tcBorders>
          <w:top w:val="nil"/>
          <w:left w:val="nil"/>
          <w:bottom w:val="single" w:sz="24" w:space="0" w:color="6EB444"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4C00" w:themeFill="accent4" w:themeFillShade="99"/>
      </w:tcPr>
    </w:tblStylePr>
    <w:tblStylePr w:type="firstCol">
      <w:rPr>
        <w:color w:val="FFFFFF" w:themeColor="background1"/>
      </w:rPr>
      <w:tblPr/>
      <w:tcPr>
        <w:tcBorders>
          <w:top w:val="nil"/>
          <w:left w:val="nil"/>
          <w:bottom w:val="nil"/>
          <w:right w:val="nil"/>
          <w:insideH w:val="single" w:sz="4" w:space="0" w:color="994C00" w:themeColor="accent4" w:themeShade="99"/>
          <w:insideV w:val="nil"/>
        </w:tcBorders>
        <w:shd w:val="clear" w:color="auto" w:fill="994C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4C00" w:themeFill="accent4" w:themeFillShade="99"/>
      </w:tcPr>
    </w:tblStylePr>
    <w:tblStylePr w:type="band1Vert">
      <w:tblPr/>
      <w:tcPr>
        <w:shd w:val="clear" w:color="auto" w:fill="FFCC99" w:themeFill="accent4" w:themeFillTint="66"/>
      </w:tcPr>
    </w:tblStylePr>
    <w:tblStylePr w:type="band1Horz">
      <w:tblPr/>
      <w:tcPr>
        <w:shd w:val="clear" w:color="auto" w:fill="FFB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7D1864"/>
    <w:pPr>
      <w:spacing w:before="0" w:after="0"/>
    </w:pPr>
    <w:rPr>
      <w:color w:val="000000" w:themeColor="text1"/>
    </w:rPr>
    <w:tblPr>
      <w:tblStyleRowBandSize w:val="1"/>
      <w:tblStyleColBandSize w:val="1"/>
      <w:tblBorders>
        <w:top w:val="single" w:sz="24" w:space="0" w:color="7C3877" w:themeColor="accent6"/>
        <w:left w:val="single" w:sz="4" w:space="0" w:color="CC003F" w:themeColor="accent5"/>
        <w:bottom w:val="single" w:sz="4" w:space="0" w:color="CC003F" w:themeColor="accent5"/>
        <w:right w:val="single" w:sz="4" w:space="0" w:color="CC003F" w:themeColor="accent5"/>
        <w:insideH w:val="single" w:sz="4" w:space="0" w:color="FFFFFF" w:themeColor="background1"/>
        <w:insideV w:val="single" w:sz="4" w:space="0" w:color="FFFFFF" w:themeColor="background1"/>
      </w:tblBorders>
    </w:tblPr>
    <w:tcPr>
      <w:shd w:val="clear" w:color="auto" w:fill="FFE1EA" w:themeFill="accent5" w:themeFillTint="19"/>
    </w:tcPr>
    <w:tblStylePr w:type="firstRow">
      <w:rPr>
        <w:b/>
        <w:bCs/>
      </w:rPr>
      <w:tblPr/>
      <w:tcPr>
        <w:tcBorders>
          <w:top w:val="nil"/>
          <w:left w:val="nil"/>
          <w:bottom w:val="single" w:sz="24" w:space="0" w:color="7C387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0025" w:themeFill="accent5" w:themeFillShade="99"/>
      </w:tcPr>
    </w:tblStylePr>
    <w:tblStylePr w:type="firstCol">
      <w:rPr>
        <w:color w:val="FFFFFF" w:themeColor="background1"/>
      </w:rPr>
      <w:tblPr/>
      <w:tcPr>
        <w:tcBorders>
          <w:top w:val="nil"/>
          <w:left w:val="nil"/>
          <w:bottom w:val="nil"/>
          <w:right w:val="nil"/>
          <w:insideH w:val="single" w:sz="4" w:space="0" w:color="7A0025" w:themeColor="accent5" w:themeShade="99"/>
          <w:insideV w:val="nil"/>
        </w:tcBorders>
        <w:shd w:val="clear" w:color="auto" w:fill="7A0025"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7A0025" w:themeFill="accent5" w:themeFillShade="99"/>
      </w:tcPr>
    </w:tblStylePr>
    <w:tblStylePr w:type="band1Vert">
      <w:tblPr/>
      <w:tcPr>
        <w:shd w:val="clear" w:color="auto" w:fill="FF84A9" w:themeFill="accent5" w:themeFillTint="66"/>
      </w:tcPr>
    </w:tblStylePr>
    <w:tblStylePr w:type="band1Horz">
      <w:tblPr/>
      <w:tcPr>
        <w:shd w:val="clear" w:color="auto" w:fill="FF6695"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7D1864"/>
    <w:pPr>
      <w:spacing w:before="0" w:after="0"/>
    </w:pPr>
    <w:rPr>
      <w:color w:val="000000" w:themeColor="text1"/>
    </w:rPr>
    <w:tblPr>
      <w:tblStyleRowBandSize w:val="1"/>
      <w:tblStyleColBandSize w:val="1"/>
      <w:tblBorders>
        <w:top w:val="single" w:sz="24" w:space="0" w:color="CC003F" w:themeColor="accent5"/>
        <w:left w:val="single" w:sz="4" w:space="0" w:color="7C3877" w:themeColor="accent6"/>
        <w:bottom w:val="single" w:sz="4" w:space="0" w:color="7C3877" w:themeColor="accent6"/>
        <w:right w:val="single" w:sz="4" w:space="0" w:color="7C3877" w:themeColor="accent6"/>
        <w:insideH w:val="single" w:sz="4" w:space="0" w:color="FFFFFF" w:themeColor="background1"/>
        <w:insideV w:val="single" w:sz="4" w:space="0" w:color="FFFFFF" w:themeColor="background1"/>
      </w:tblBorders>
    </w:tblPr>
    <w:tcPr>
      <w:shd w:val="clear" w:color="auto" w:fill="F5E8F4" w:themeFill="accent6" w:themeFillTint="19"/>
    </w:tcPr>
    <w:tblStylePr w:type="firstRow">
      <w:rPr>
        <w:b/>
        <w:bCs/>
      </w:rPr>
      <w:tblPr/>
      <w:tcPr>
        <w:tcBorders>
          <w:top w:val="nil"/>
          <w:left w:val="nil"/>
          <w:bottom w:val="single" w:sz="24" w:space="0" w:color="CC003F"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A2147" w:themeFill="accent6" w:themeFillShade="99"/>
      </w:tcPr>
    </w:tblStylePr>
    <w:tblStylePr w:type="firstCol">
      <w:rPr>
        <w:color w:val="FFFFFF" w:themeColor="background1"/>
      </w:rPr>
      <w:tblPr/>
      <w:tcPr>
        <w:tcBorders>
          <w:top w:val="nil"/>
          <w:left w:val="nil"/>
          <w:bottom w:val="nil"/>
          <w:right w:val="nil"/>
          <w:insideH w:val="single" w:sz="4" w:space="0" w:color="4A2147" w:themeColor="accent6" w:themeShade="99"/>
          <w:insideV w:val="nil"/>
        </w:tcBorders>
        <w:shd w:val="clear" w:color="auto" w:fill="4A214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A2147" w:themeFill="accent6" w:themeFillShade="99"/>
      </w:tcPr>
    </w:tblStylePr>
    <w:tblStylePr w:type="band1Vert">
      <w:tblPr/>
      <w:tcPr>
        <w:shd w:val="clear" w:color="auto" w:fill="D6A4D2" w:themeFill="accent6" w:themeFillTint="66"/>
      </w:tcPr>
    </w:tblStylePr>
    <w:tblStylePr w:type="band1Horz">
      <w:tblPr/>
      <w:tcPr>
        <w:shd w:val="clear" w:color="auto" w:fill="CB8DC7"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7D1864"/>
    <w:pPr>
      <w:spacing w:before="0" w:after="0"/>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7D1864"/>
    <w:pPr>
      <w:spacing w:before="0" w:after="0"/>
    </w:pPr>
    <w:rPr>
      <w:color w:val="FFFFFF" w:themeColor="background1"/>
    </w:rPr>
    <w:tblPr>
      <w:tblStyleRowBandSize w:val="1"/>
      <w:tblStyleColBandSize w:val="1"/>
    </w:tblPr>
    <w:tcPr>
      <w:shd w:val="clear" w:color="auto" w:fill="0278A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13B5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1598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15981" w:themeFill="accent1" w:themeFillShade="BF"/>
      </w:tcPr>
    </w:tblStylePr>
    <w:tblStylePr w:type="band1Vert">
      <w:tblPr/>
      <w:tcPr>
        <w:tcBorders>
          <w:top w:val="nil"/>
          <w:left w:val="nil"/>
          <w:bottom w:val="nil"/>
          <w:right w:val="nil"/>
          <w:insideH w:val="nil"/>
          <w:insideV w:val="nil"/>
        </w:tcBorders>
        <w:shd w:val="clear" w:color="auto" w:fill="015981" w:themeFill="accent1" w:themeFillShade="BF"/>
      </w:tcPr>
    </w:tblStylePr>
    <w:tblStylePr w:type="band1Horz">
      <w:tblPr/>
      <w:tcPr>
        <w:tcBorders>
          <w:top w:val="nil"/>
          <w:left w:val="nil"/>
          <w:bottom w:val="nil"/>
          <w:right w:val="nil"/>
          <w:insideH w:val="nil"/>
          <w:insideV w:val="nil"/>
        </w:tcBorders>
        <w:shd w:val="clear" w:color="auto" w:fill="015981" w:themeFill="accent1" w:themeFillShade="BF"/>
      </w:tcPr>
    </w:tblStylePr>
  </w:style>
  <w:style w:type="table" w:styleId="DarkList-Accent2">
    <w:name w:val="Dark List Accent 2"/>
    <w:basedOn w:val="TableNormal"/>
    <w:uiPriority w:val="70"/>
    <w:semiHidden/>
    <w:unhideWhenUsed/>
    <w:rsid w:val="007D1864"/>
    <w:pPr>
      <w:spacing w:before="0" w:after="0"/>
    </w:pPr>
    <w:rPr>
      <w:color w:val="FFFFFF" w:themeColor="background1"/>
    </w:rPr>
    <w:tblPr>
      <w:tblStyleRowBandSize w:val="1"/>
      <w:tblStyleColBandSize w:val="1"/>
    </w:tblPr>
    <w:tcPr>
      <w:shd w:val="clear" w:color="auto" w:fill="FCB717"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65E0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A8E0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A8E02" w:themeFill="accent2" w:themeFillShade="BF"/>
      </w:tcPr>
    </w:tblStylePr>
    <w:tblStylePr w:type="band1Vert">
      <w:tblPr/>
      <w:tcPr>
        <w:tcBorders>
          <w:top w:val="nil"/>
          <w:left w:val="nil"/>
          <w:bottom w:val="nil"/>
          <w:right w:val="nil"/>
          <w:insideH w:val="nil"/>
          <w:insideV w:val="nil"/>
        </w:tcBorders>
        <w:shd w:val="clear" w:color="auto" w:fill="CA8E02" w:themeFill="accent2" w:themeFillShade="BF"/>
      </w:tcPr>
    </w:tblStylePr>
    <w:tblStylePr w:type="band1Horz">
      <w:tblPr/>
      <w:tcPr>
        <w:tcBorders>
          <w:top w:val="nil"/>
          <w:left w:val="nil"/>
          <w:bottom w:val="nil"/>
          <w:right w:val="nil"/>
          <w:insideH w:val="nil"/>
          <w:insideV w:val="nil"/>
        </w:tcBorders>
        <w:shd w:val="clear" w:color="auto" w:fill="CA8E02" w:themeFill="accent2" w:themeFillShade="BF"/>
      </w:tcPr>
    </w:tblStylePr>
  </w:style>
  <w:style w:type="table" w:styleId="DarkList-Accent3">
    <w:name w:val="Dark List Accent 3"/>
    <w:basedOn w:val="TableNormal"/>
    <w:uiPriority w:val="70"/>
    <w:semiHidden/>
    <w:unhideWhenUsed/>
    <w:rsid w:val="007D1864"/>
    <w:pPr>
      <w:spacing w:before="0" w:after="0"/>
    </w:pPr>
    <w:rPr>
      <w:color w:val="FFFFFF" w:themeColor="background1"/>
    </w:rPr>
    <w:tblPr>
      <w:tblStyleRowBandSize w:val="1"/>
      <w:tblStyleColBandSize w:val="1"/>
    </w:tblPr>
    <w:tcPr>
      <w:shd w:val="clear" w:color="auto" w:fill="6EB444"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6592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528633"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528633" w:themeFill="accent3" w:themeFillShade="BF"/>
      </w:tcPr>
    </w:tblStylePr>
    <w:tblStylePr w:type="band1Vert">
      <w:tblPr/>
      <w:tcPr>
        <w:tcBorders>
          <w:top w:val="nil"/>
          <w:left w:val="nil"/>
          <w:bottom w:val="nil"/>
          <w:right w:val="nil"/>
          <w:insideH w:val="nil"/>
          <w:insideV w:val="nil"/>
        </w:tcBorders>
        <w:shd w:val="clear" w:color="auto" w:fill="528633" w:themeFill="accent3" w:themeFillShade="BF"/>
      </w:tcPr>
    </w:tblStylePr>
    <w:tblStylePr w:type="band1Horz">
      <w:tblPr/>
      <w:tcPr>
        <w:tcBorders>
          <w:top w:val="nil"/>
          <w:left w:val="nil"/>
          <w:bottom w:val="nil"/>
          <w:right w:val="nil"/>
          <w:insideH w:val="nil"/>
          <w:insideV w:val="nil"/>
        </w:tcBorders>
        <w:shd w:val="clear" w:color="auto" w:fill="528633" w:themeFill="accent3" w:themeFillShade="BF"/>
      </w:tcPr>
    </w:tblStylePr>
  </w:style>
  <w:style w:type="table" w:styleId="DarkList-Accent4">
    <w:name w:val="Dark List Accent 4"/>
    <w:basedOn w:val="TableNormal"/>
    <w:uiPriority w:val="70"/>
    <w:semiHidden/>
    <w:unhideWhenUsed/>
    <w:rsid w:val="007D1864"/>
    <w:pPr>
      <w:spacing w:before="0" w:after="0"/>
    </w:pPr>
    <w:rPr>
      <w:color w:val="FFFFFF" w:themeColor="background1"/>
    </w:rPr>
    <w:tblPr>
      <w:tblStyleRowBandSize w:val="1"/>
      <w:tblStyleColBandSize w:val="1"/>
    </w:tblPr>
    <w:tcPr>
      <w:shd w:val="clear" w:color="auto" w:fill="FF8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5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5F00" w:themeFill="accent4" w:themeFillShade="BF"/>
      </w:tcPr>
    </w:tblStylePr>
    <w:tblStylePr w:type="band1Vert">
      <w:tblPr/>
      <w:tcPr>
        <w:tcBorders>
          <w:top w:val="nil"/>
          <w:left w:val="nil"/>
          <w:bottom w:val="nil"/>
          <w:right w:val="nil"/>
          <w:insideH w:val="nil"/>
          <w:insideV w:val="nil"/>
        </w:tcBorders>
        <w:shd w:val="clear" w:color="auto" w:fill="BF5F00" w:themeFill="accent4" w:themeFillShade="BF"/>
      </w:tcPr>
    </w:tblStylePr>
    <w:tblStylePr w:type="band1Horz">
      <w:tblPr/>
      <w:tcPr>
        <w:tcBorders>
          <w:top w:val="nil"/>
          <w:left w:val="nil"/>
          <w:bottom w:val="nil"/>
          <w:right w:val="nil"/>
          <w:insideH w:val="nil"/>
          <w:insideV w:val="nil"/>
        </w:tcBorders>
        <w:shd w:val="clear" w:color="auto" w:fill="BF5F00" w:themeFill="accent4" w:themeFillShade="BF"/>
      </w:tcPr>
    </w:tblStylePr>
  </w:style>
  <w:style w:type="table" w:styleId="DarkList-Accent5">
    <w:name w:val="Dark List Accent 5"/>
    <w:basedOn w:val="TableNormal"/>
    <w:uiPriority w:val="70"/>
    <w:semiHidden/>
    <w:unhideWhenUsed/>
    <w:rsid w:val="007D1864"/>
    <w:pPr>
      <w:spacing w:before="0" w:after="0"/>
    </w:pPr>
    <w:rPr>
      <w:color w:val="FFFFFF" w:themeColor="background1"/>
    </w:rPr>
    <w:tblPr>
      <w:tblStyleRowBandSize w:val="1"/>
      <w:tblStyleColBandSize w:val="1"/>
    </w:tblPr>
    <w:tcPr>
      <w:shd w:val="clear" w:color="auto" w:fill="CC003F"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5001E"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98002E"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98002E" w:themeFill="accent5" w:themeFillShade="BF"/>
      </w:tcPr>
    </w:tblStylePr>
    <w:tblStylePr w:type="band1Vert">
      <w:tblPr/>
      <w:tcPr>
        <w:tcBorders>
          <w:top w:val="nil"/>
          <w:left w:val="nil"/>
          <w:bottom w:val="nil"/>
          <w:right w:val="nil"/>
          <w:insideH w:val="nil"/>
          <w:insideV w:val="nil"/>
        </w:tcBorders>
        <w:shd w:val="clear" w:color="auto" w:fill="98002E" w:themeFill="accent5" w:themeFillShade="BF"/>
      </w:tcPr>
    </w:tblStylePr>
    <w:tblStylePr w:type="band1Horz">
      <w:tblPr/>
      <w:tcPr>
        <w:tcBorders>
          <w:top w:val="nil"/>
          <w:left w:val="nil"/>
          <w:bottom w:val="nil"/>
          <w:right w:val="nil"/>
          <w:insideH w:val="nil"/>
          <w:insideV w:val="nil"/>
        </w:tcBorders>
        <w:shd w:val="clear" w:color="auto" w:fill="98002E" w:themeFill="accent5" w:themeFillShade="BF"/>
      </w:tcPr>
    </w:tblStylePr>
  </w:style>
  <w:style w:type="table" w:styleId="DarkList-Accent6">
    <w:name w:val="Dark List Accent 6"/>
    <w:basedOn w:val="TableNormal"/>
    <w:uiPriority w:val="70"/>
    <w:semiHidden/>
    <w:unhideWhenUsed/>
    <w:rsid w:val="007D1864"/>
    <w:pPr>
      <w:spacing w:before="0" w:after="0"/>
    </w:pPr>
    <w:rPr>
      <w:color w:val="FFFFFF" w:themeColor="background1"/>
    </w:rPr>
    <w:tblPr>
      <w:tblStyleRowBandSize w:val="1"/>
      <w:tblStyleColBandSize w:val="1"/>
    </w:tblPr>
    <w:tcPr>
      <w:shd w:val="clear" w:color="auto" w:fill="7C387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D1B3A"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C2A58"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C2A58" w:themeFill="accent6" w:themeFillShade="BF"/>
      </w:tcPr>
    </w:tblStylePr>
    <w:tblStylePr w:type="band1Vert">
      <w:tblPr/>
      <w:tcPr>
        <w:tcBorders>
          <w:top w:val="nil"/>
          <w:left w:val="nil"/>
          <w:bottom w:val="nil"/>
          <w:right w:val="nil"/>
          <w:insideH w:val="nil"/>
          <w:insideV w:val="nil"/>
        </w:tcBorders>
        <w:shd w:val="clear" w:color="auto" w:fill="5C2A58" w:themeFill="accent6" w:themeFillShade="BF"/>
      </w:tcPr>
    </w:tblStylePr>
    <w:tblStylePr w:type="band1Horz">
      <w:tblPr/>
      <w:tcPr>
        <w:tcBorders>
          <w:top w:val="nil"/>
          <w:left w:val="nil"/>
          <w:bottom w:val="nil"/>
          <w:right w:val="nil"/>
          <w:insideH w:val="nil"/>
          <w:insideV w:val="nil"/>
        </w:tcBorders>
        <w:shd w:val="clear" w:color="auto" w:fill="5C2A58" w:themeFill="accent6" w:themeFillShade="BF"/>
      </w:tcPr>
    </w:tblStylePr>
  </w:style>
  <w:style w:type="table" w:styleId="GridTable1Light">
    <w:name w:val="Grid Table 1 Light"/>
    <w:basedOn w:val="TableNormal"/>
    <w:uiPriority w:val="46"/>
    <w:semiHidden/>
    <w:rsid w:val="007D1864"/>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7D1864"/>
    <w:pPr>
      <w:spacing w:after="0"/>
    </w:pPr>
    <w:tblPr>
      <w:tblStyleRowBandSize w:val="1"/>
      <w:tblStyleColBandSize w:val="1"/>
      <w:tblBorders>
        <w:top w:val="single" w:sz="4" w:space="0" w:color="7AD4FD" w:themeColor="accent1" w:themeTint="66"/>
        <w:left w:val="single" w:sz="4" w:space="0" w:color="7AD4FD" w:themeColor="accent1" w:themeTint="66"/>
        <w:bottom w:val="single" w:sz="4" w:space="0" w:color="7AD4FD" w:themeColor="accent1" w:themeTint="66"/>
        <w:right w:val="single" w:sz="4" w:space="0" w:color="7AD4FD" w:themeColor="accent1" w:themeTint="66"/>
        <w:insideH w:val="single" w:sz="4" w:space="0" w:color="7AD4FD" w:themeColor="accent1" w:themeTint="66"/>
        <w:insideV w:val="single" w:sz="4" w:space="0" w:color="7AD4FD" w:themeColor="accent1" w:themeTint="66"/>
      </w:tblBorders>
    </w:tblPr>
    <w:tblStylePr w:type="firstRow">
      <w:rPr>
        <w:b/>
        <w:bCs/>
      </w:rPr>
      <w:tblPr/>
      <w:tcPr>
        <w:tcBorders>
          <w:bottom w:val="single" w:sz="12" w:space="0" w:color="38BFFC" w:themeColor="accent1" w:themeTint="99"/>
        </w:tcBorders>
      </w:tcPr>
    </w:tblStylePr>
    <w:tblStylePr w:type="lastRow">
      <w:rPr>
        <w:b/>
        <w:bCs/>
      </w:rPr>
      <w:tblPr/>
      <w:tcPr>
        <w:tcBorders>
          <w:top w:val="double" w:sz="2" w:space="0" w:color="38BFFC"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7D1864"/>
    <w:pPr>
      <w:spacing w:after="0"/>
    </w:pPr>
    <w:tblPr>
      <w:tblStyleRowBandSize w:val="1"/>
      <w:tblStyleColBandSize w:val="1"/>
      <w:tblBorders>
        <w:top w:val="single" w:sz="4" w:space="0" w:color="FDE2A2" w:themeColor="accent2" w:themeTint="66"/>
        <w:left w:val="single" w:sz="4" w:space="0" w:color="FDE2A2" w:themeColor="accent2" w:themeTint="66"/>
        <w:bottom w:val="single" w:sz="4" w:space="0" w:color="FDE2A2" w:themeColor="accent2" w:themeTint="66"/>
        <w:right w:val="single" w:sz="4" w:space="0" w:color="FDE2A2" w:themeColor="accent2" w:themeTint="66"/>
        <w:insideH w:val="single" w:sz="4" w:space="0" w:color="FDE2A2" w:themeColor="accent2" w:themeTint="66"/>
        <w:insideV w:val="single" w:sz="4" w:space="0" w:color="FDE2A2" w:themeColor="accent2" w:themeTint="66"/>
      </w:tblBorders>
    </w:tblPr>
    <w:tblStylePr w:type="firstRow">
      <w:rPr>
        <w:b/>
        <w:bCs/>
      </w:rPr>
      <w:tblPr/>
      <w:tcPr>
        <w:tcBorders>
          <w:bottom w:val="single" w:sz="12" w:space="0" w:color="FDD373" w:themeColor="accent2" w:themeTint="99"/>
        </w:tcBorders>
      </w:tcPr>
    </w:tblStylePr>
    <w:tblStylePr w:type="lastRow">
      <w:rPr>
        <w:b/>
        <w:bCs/>
      </w:rPr>
      <w:tblPr/>
      <w:tcPr>
        <w:tcBorders>
          <w:top w:val="double" w:sz="2" w:space="0" w:color="FDD373"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7D1864"/>
    <w:pPr>
      <w:spacing w:after="0"/>
    </w:pPr>
    <w:tblPr>
      <w:tblStyleRowBandSize w:val="1"/>
      <w:tblStyleColBandSize w:val="1"/>
      <w:tblBorders>
        <w:top w:val="single" w:sz="4" w:space="0" w:color="C4E2B2" w:themeColor="accent3" w:themeTint="66"/>
        <w:left w:val="single" w:sz="4" w:space="0" w:color="C4E2B2" w:themeColor="accent3" w:themeTint="66"/>
        <w:bottom w:val="single" w:sz="4" w:space="0" w:color="C4E2B2" w:themeColor="accent3" w:themeTint="66"/>
        <w:right w:val="single" w:sz="4" w:space="0" w:color="C4E2B2" w:themeColor="accent3" w:themeTint="66"/>
        <w:insideH w:val="single" w:sz="4" w:space="0" w:color="C4E2B2" w:themeColor="accent3" w:themeTint="66"/>
        <w:insideV w:val="single" w:sz="4" w:space="0" w:color="C4E2B2" w:themeColor="accent3" w:themeTint="66"/>
      </w:tblBorders>
    </w:tblPr>
    <w:tblStylePr w:type="firstRow">
      <w:rPr>
        <w:b/>
        <w:bCs/>
      </w:rPr>
      <w:tblPr/>
      <w:tcPr>
        <w:tcBorders>
          <w:bottom w:val="single" w:sz="12" w:space="0" w:color="A7D38C" w:themeColor="accent3" w:themeTint="99"/>
        </w:tcBorders>
      </w:tcPr>
    </w:tblStylePr>
    <w:tblStylePr w:type="lastRow">
      <w:rPr>
        <w:b/>
        <w:bCs/>
      </w:rPr>
      <w:tblPr/>
      <w:tcPr>
        <w:tcBorders>
          <w:top w:val="double" w:sz="2" w:space="0" w:color="A7D38C"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7D1864"/>
    <w:pPr>
      <w:spacing w:after="0"/>
    </w:pPr>
    <w:tblPr>
      <w:tblStyleRowBandSize w:val="1"/>
      <w:tblStyleColBandSize w:val="1"/>
      <w:tblBorders>
        <w:top w:val="single" w:sz="4" w:space="0" w:color="FFCC99" w:themeColor="accent4" w:themeTint="66"/>
        <w:left w:val="single" w:sz="4" w:space="0" w:color="FFCC99" w:themeColor="accent4" w:themeTint="66"/>
        <w:bottom w:val="single" w:sz="4" w:space="0" w:color="FFCC99" w:themeColor="accent4" w:themeTint="66"/>
        <w:right w:val="single" w:sz="4" w:space="0" w:color="FFCC99" w:themeColor="accent4" w:themeTint="66"/>
        <w:insideH w:val="single" w:sz="4" w:space="0" w:color="FFCC99" w:themeColor="accent4" w:themeTint="66"/>
        <w:insideV w:val="single" w:sz="4" w:space="0" w:color="FFCC99" w:themeColor="accent4" w:themeTint="66"/>
      </w:tblBorders>
    </w:tblPr>
    <w:tblStylePr w:type="firstRow">
      <w:rPr>
        <w:b/>
        <w:bCs/>
      </w:rPr>
      <w:tblPr/>
      <w:tcPr>
        <w:tcBorders>
          <w:bottom w:val="single" w:sz="12" w:space="0" w:color="FFB266" w:themeColor="accent4" w:themeTint="99"/>
        </w:tcBorders>
      </w:tcPr>
    </w:tblStylePr>
    <w:tblStylePr w:type="lastRow">
      <w:rPr>
        <w:b/>
        <w:bCs/>
      </w:rPr>
      <w:tblPr/>
      <w:tcPr>
        <w:tcBorders>
          <w:top w:val="double" w:sz="2" w:space="0" w:color="FFB26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7D1864"/>
    <w:pPr>
      <w:spacing w:after="0"/>
    </w:pPr>
    <w:tblPr>
      <w:tblStyleRowBandSize w:val="1"/>
      <w:tblStyleColBandSize w:val="1"/>
      <w:tblBorders>
        <w:top w:val="single" w:sz="4" w:space="0" w:color="FF84A9" w:themeColor="accent5" w:themeTint="66"/>
        <w:left w:val="single" w:sz="4" w:space="0" w:color="FF84A9" w:themeColor="accent5" w:themeTint="66"/>
        <w:bottom w:val="single" w:sz="4" w:space="0" w:color="FF84A9" w:themeColor="accent5" w:themeTint="66"/>
        <w:right w:val="single" w:sz="4" w:space="0" w:color="FF84A9" w:themeColor="accent5" w:themeTint="66"/>
        <w:insideH w:val="single" w:sz="4" w:space="0" w:color="FF84A9" w:themeColor="accent5" w:themeTint="66"/>
        <w:insideV w:val="single" w:sz="4" w:space="0" w:color="FF84A9" w:themeColor="accent5" w:themeTint="66"/>
      </w:tblBorders>
    </w:tblPr>
    <w:tblStylePr w:type="firstRow">
      <w:rPr>
        <w:b/>
        <w:bCs/>
      </w:rPr>
      <w:tblPr/>
      <w:tcPr>
        <w:tcBorders>
          <w:bottom w:val="single" w:sz="12" w:space="0" w:color="FF477F" w:themeColor="accent5" w:themeTint="99"/>
        </w:tcBorders>
      </w:tcPr>
    </w:tblStylePr>
    <w:tblStylePr w:type="lastRow">
      <w:rPr>
        <w:b/>
        <w:bCs/>
      </w:rPr>
      <w:tblPr/>
      <w:tcPr>
        <w:tcBorders>
          <w:top w:val="double" w:sz="2" w:space="0" w:color="FF477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7D1864"/>
    <w:pPr>
      <w:spacing w:after="0"/>
    </w:pPr>
    <w:tblPr>
      <w:tblStyleRowBandSize w:val="1"/>
      <w:tblStyleColBandSize w:val="1"/>
      <w:tblBorders>
        <w:top w:val="single" w:sz="4" w:space="0" w:color="D6A4D2" w:themeColor="accent6" w:themeTint="66"/>
        <w:left w:val="single" w:sz="4" w:space="0" w:color="D6A4D2" w:themeColor="accent6" w:themeTint="66"/>
        <w:bottom w:val="single" w:sz="4" w:space="0" w:color="D6A4D2" w:themeColor="accent6" w:themeTint="66"/>
        <w:right w:val="single" w:sz="4" w:space="0" w:color="D6A4D2" w:themeColor="accent6" w:themeTint="66"/>
        <w:insideH w:val="single" w:sz="4" w:space="0" w:color="D6A4D2" w:themeColor="accent6" w:themeTint="66"/>
        <w:insideV w:val="single" w:sz="4" w:space="0" w:color="D6A4D2" w:themeColor="accent6" w:themeTint="66"/>
      </w:tblBorders>
    </w:tblPr>
    <w:tblStylePr w:type="firstRow">
      <w:rPr>
        <w:b/>
        <w:bCs/>
      </w:rPr>
      <w:tblPr/>
      <w:tcPr>
        <w:tcBorders>
          <w:bottom w:val="single" w:sz="12" w:space="0" w:color="C176BB" w:themeColor="accent6" w:themeTint="99"/>
        </w:tcBorders>
      </w:tcPr>
    </w:tblStylePr>
    <w:tblStylePr w:type="lastRow">
      <w:rPr>
        <w:b/>
        <w:bCs/>
      </w:rPr>
      <w:tblPr/>
      <w:tcPr>
        <w:tcBorders>
          <w:top w:val="double" w:sz="2" w:space="0" w:color="C176BB"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7D1864"/>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semiHidden/>
    <w:rsid w:val="007D1864"/>
    <w:pPr>
      <w:spacing w:after="0"/>
    </w:pPr>
    <w:tblPr>
      <w:tblStyleRowBandSize w:val="1"/>
      <w:tblStyleColBandSize w:val="1"/>
      <w:tblBorders>
        <w:top w:val="single" w:sz="2" w:space="0" w:color="38BFFC" w:themeColor="accent1" w:themeTint="99"/>
        <w:bottom w:val="single" w:sz="2" w:space="0" w:color="38BFFC" w:themeColor="accent1" w:themeTint="99"/>
        <w:insideH w:val="single" w:sz="2" w:space="0" w:color="38BFFC" w:themeColor="accent1" w:themeTint="99"/>
        <w:insideV w:val="single" w:sz="2" w:space="0" w:color="38BFFC" w:themeColor="accent1" w:themeTint="99"/>
      </w:tblBorders>
    </w:tblPr>
    <w:tblStylePr w:type="firstRow">
      <w:rPr>
        <w:b/>
        <w:bCs/>
      </w:rPr>
      <w:tblPr/>
      <w:tcPr>
        <w:tcBorders>
          <w:top w:val="nil"/>
          <w:bottom w:val="single" w:sz="12" w:space="0" w:color="38BFFC" w:themeColor="accent1" w:themeTint="99"/>
          <w:insideH w:val="nil"/>
          <w:insideV w:val="nil"/>
        </w:tcBorders>
        <w:shd w:val="clear" w:color="auto" w:fill="FFFFFF" w:themeFill="background1"/>
      </w:tcPr>
    </w:tblStylePr>
    <w:tblStylePr w:type="lastRow">
      <w:rPr>
        <w:b/>
        <w:bCs/>
      </w:rPr>
      <w:tblPr/>
      <w:tcPr>
        <w:tcBorders>
          <w:top w:val="double" w:sz="2" w:space="0" w:color="38BFFC"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E9FE" w:themeFill="accent1" w:themeFillTint="33"/>
      </w:tcPr>
    </w:tblStylePr>
    <w:tblStylePr w:type="band1Horz">
      <w:tblPr/>
      <w:tcPr>
        <w:shd w:val="clear" w:color="auto" w:fill="BCE9FE" w:themeFill="accent1" w:themeFillTint="33"/>
      </w:tcPr>
    </w:tblStylePr>
  </w:style>
  <w:style w:type="table" w:styleId="GridTable2-Accent2">
    <w:name w:val="Grid Table 2 Accent 2"/>
    <w:basedOn w:val="TableNormal"/>
    <w:uiPriority w:val="47"/>
    <w:semiHidden/>
    <w:rsid w:val="007D1864"/>
    <w:pPr>
      <w:spacing w:after="0"/>
    </w:pPr>
    <w:tblPr>
      <w:tblStyleRowBandSize w:val="1"/>
      <w:tblStyleColBandSize w:val="1"/>
      <w:tblBorders>
        <w:top w:val="single" w:sz="2" w:space="0" w:color="FDD373" w:themeColor="accent2" w:themeTint="99"/>
        <w:bottom w:val="single" w:sz="2" w:space="0" w:color="FDD373" w:themeColor="accent2" w:themeTint="99"/>
        <w:insideH w:val="single" w:sz="2" w:space="0" w:color="FDD373" w:themeColor="accent2" w:themeTint="99"/>
        <w:insideV w:val="single" w:sz="2" w:space="0" w:color="FDD373" w:themeColor="accent2" w:themeTint="99"/>
      </w:tblBorders>
    </w:tblPr>
    <w:tblStylePr w:type="firstRow">
      <w:rPr>
        <w:b/>
        <w:bCs/>
      </w:rPr>
      <w:tblPr/>
      <w:tcPr>
        <w:tcBorders>
          <w:top w:val="nil"/>
          <w:bottom w:val="single" w:sz="12" w:space="0" w:color="FDD373" w:themeColor="accent2" w:themeTint="99"/>
          <w:insideH w:val="nil"/>
          <w:insideV w:val="nil"/>
        </w:tcBorders>
        <w:shd w:val="clear" w:color="auto" w:fill="FFFFFF" w:themeFill="background1"/>
      </w:tcPr>
    </w:tblStylePr>
    <w:tblStylePr w:type="lastRow">
      <w:rPr>
        <w:b/>
        <w:bCs/>
      </w:rPr>
      <w:tblPr/>
      <w:tcPr>
        <w:tcBorders>
          <w:top w:val="double" w:sz="2" w:space="0" w:color="FDD37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EF0D0" w:themeFill="accent2" w:themeFillTint="33"/>
      </w:tcPr>
    </w:tblStylePr>
    <w:tblStylePr w:type="band1Horz">
      <w:tblPr/>
      <w:tcPr>
        <w:shd w:val="clear" w:color="auto" w:fill="FEF0D0" w:themeFill="accent2" w:themeFillTint="33"/>
      </w:tcPr>
    </w:tblStylePr>
  </w:style>
  <w:style w:type="table" w:styleId="GridTable2-Accent3">
    <w:name w:val="Grid Table 2 Accent 3"/>
    <w:basedOn w:val="TableNormal"/>
    <w:uiPriority w:val="47"/>
    <w:semiHidden/>
    <w:rsid w:val="007D1864"/>
    <w:pPr>
      <w:spacing w:after="0"/>
    </w:pPr>
    <w:tblPr>
      <w:tblStyleRowBandSize w:val="1"/>
      <w:tblStyleColBandSize w:val="1"/>
      <w:tblBorders>
        <w:top w:val="single" w:sz="2" w:space="0" w:color="A7D38C" w:themeColor="accent3" w:themeTint="99"/>
        <w:bottom w:val="single" w:sz="2" w:space="0" w:color="A7D38C" w:themeColor="accent3" w:themeTint="99"/>
        <w:insideH w:val="single" w:sz="2" w:space="0" w:color="A7D38C" w:themeColor="accent3" w:themeTint="99"/>
        <w:insideV w:val="single" w:sz="2" w:space="0" w:color="A7D38C" w:themeColor="accent3" w:themeTint="99"/>
      </w:tblBorders>
    </w:tblPr>
    <w:tblStylePr w:type="firstRow">
      <w:rPr>
        <w:b/>
        <w:bCs/>
      </w:rPr>
      <w:tblPr/>
      <w:tcPr>
        <w:tcBorders>
          <w:top w:val="nil"/>
          <w:bottom w:val="single" w:sz="12" w:space="0" w:color="A7D38C" w:themeColor="accent3" w:themeTint="99"/>
          <w:insideH w:val="nil"/>
          <w:insideV w:val="nil"/>
        </w:tcBorders>
        <w:shd w:val="clear" w:color="auto" w:fill="FFFFFF" w:themeFill="background1"/>
      </w:tcPr>
    </w:tblStylePr>
    <w:tblStylePr w:type="lastRow">
      <w:rPr>
        <w:b/>
        <w:bCs/>
      </w:rPr>
      <w:tblPr/>
      <w:tcPr>
        <w:tcBorders>
          <w:top w:val="double" w:sz="2" w:space="0" w:color="A7D38C"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1F0D8" w:themeFill="accent3" w:themeFillTint="33"/>
      </w:tcPr>
    </w:tblStylePr>
    <w:tblStylePr w:type="band1Horz">
      <w:tblPr/>
      <w:tcPr>
        <w:shd w:val="clear" w:color="auto" w:fill="E1F0D8" w:themeFill="accent3" w:themeFillTint="33"/>
      </w:tcPr>
    </w:tblStylePr>
  </w:style>
  <w:style w:type="table" w:styleId="GridTable2-Accent4">
    <w:name w:val="Grid Table 2 Accent 4"/>
    <w:basedOn w:val="TableNormal"/>
    <w:uiPriority w:val="47"/>
    <w:semiHidden/>
    <w:rsid w:val="007D1864"/>
    <w:pPr>
      <w:spacing w:after="0"/>
    </w:pPr>
    <w:tblPr>
      <w:tblStyleRowBandSize w:val="1"/>
      <w:tblStyleColBandSize w:val="1"/>
      <w:tblBorders>
        <w:top w:val="single" w:sz="2" w:space="0" w:color="FFB266" w:themeColor="accent4" w:themeTint="99"/>
        <w:bottom w:val="single" w:sz="2" w:space="0" w:color="FFB266" w:themeColor="accent4" w:themeTint="99"/>
        <w:insideH w:val="single" w:sz="2" w:space="0" w:color="FFB266" w:themeColor="accent4" w:themeTint="99"/>
        <w:insideV w:val="single" w:sz="2" w:space="0" w:color="FFB266" w:themeColor="accent4" w:themeTint="99"/>
      </w:tblBorders>
    </w:tblPr>
    <w:tblStylePr w:type="firstRow">
      <w:rPr>
        <w:b/>
        <w:bCs/>
      </w:rPr>
      <w:tblPr/>
      <w:tcPr>
        <w:tcBorders>
          <w:top w:val="nil"/>
          <w:bottom w:val="single" w:sz="12" w:space="0" w:color="FFB266" w:themeColor="accent4" w:themeTint="99"/>
          <w:insideH w:val="nil"/>
          <w:insideV w:val="nil"/>
        </w:tcBorders>
        <w:shd w:val="clear" w:color="auto" w:fill="FFFFFF" w:themeFill="background1"/>
      </w:tcPr>
    </w:tblStylePr>
    <w:tblStylePr w:type="lastRow">
      <w:rPr>
        <w:b/>
        <w:bCs/>
      </w:rPr>
      <w:tblPr/>
      <w:tcPr>
        <w:tcBorders>
          <w:top w:val="double" w:sz="2" w:space="0" w:color="FFB2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5CC" w:themeFill="accent4" w:themeFillTint="33"/>
      </w:tcPr>
    </w:tblStylePr>
    <w:tblStylePr w:type="band1Horz">
      <w:tblPr/>
      <w:tcPr>
        <w:shd w:val="clear" w:color="auto" w:fill="FFE5CC" w:themeFill="accent4" w:themeFillTint="33"/>
      </w:tcPr>
    </w:tblStylePr>
  </w:style>
  <w:style w:type="table" w:styleId="GridTable2-Accent5">
    <w:name w:val="Grid Table 2 Accent 5"/>
    <w:basedOn w:val="TableNormal"/>
    <w:uiPriority w:val="47"/>
    <w:semiHidden/>
    <w:rsid w:val="007D1864"/>
    <w:pPr>
      <w:spacing w:after="0"/>
    </w:pPr>
    <w:tblPr>
      <w:tblStyleRowBandSize w:val="1"/>
      <w:tblStyleColBandSize w:val="1"/>
      <w:tblBorders>
        <w:top w:val="single" w:sz="2" w:space="0" w:color="FF477F" w:themeColor="accent5" w:themeTint="99"/>
        <w:bottom w:val="single" w:sz="2" w:space="0" w:color="FF477F" w:themeColor="accent5" w:themeTint="99"/>
        <w:insideH w:val="single" w:sz="2" w:space="0" w:color="FF477F" w:themeColor="accent5" w:themeTint="99"/>
        <w:insideV w:val="single" w:sz="2" w:space="0" w:color="FF477F" w:themeColor="accent5" w:themeTint="99"/>
      </w:tblBorders>
    </w:tblPr>
    <w:tblStylePr w:type="firstRow">
      <w:rPr>
        <w:b/>
        <w:bCs/>
      </w:rPr>
      <w:tblPr/>
      <w:tcPr>
        <w:tcBorders>
          <w:top w:val="nil"/>
          <w:bottom w:val="single" w:sz="12" w:space="0" w:color="FF477F" w:themeColor="accent5" w:themeTint="99"/>
          <w:insideH w:val="nil"/>
          <w:insideV w:val="nil"/>
        </w:tcBorders>
        <w:shd w:val="clear" w:color="auto" w:fill="FFFFFF" w:themeFill="background1"/>
      </w:tcPr>
    </w:tblStylePr>
    <w:tblStylePr w:type="lastRow">
      <w:rPr>
        <w:b/>
        <w:bCs/>
      </w:rPr>
      <w:tblPr/>
      <w:tcPr>
        <w:tcBorders>
          <w:top w:val="double" w:sz="2" w:space="0" w:color="FF477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1D4" w:themeFill="accent5" w:themeFillTint="33"/>
      </w:tcPr>
    </w:tblStylePr>
    <w:tblStylePr w:type="band1Horz">
      <w:tblPr/>
      <w:tcPr>
        <w:shd w:val="clear" w:color="auto" w:fill="FFC1D4" w:themeFill="accent5" w:themeFillTint="33"/>
      </w:tcPr>
    </w:tblStylePr>
  </w:style>
  <w:style w:type="table" w:styleId="GridTable2-Accent6">
    <w:name w:val="Grid Table 2 Accent 6"/>
    <w:basedOn w:val="TableNormal"/>
    <w:uiPriority w:val="47"/>
    <w:semiHidden/>
    <w:rsid w:val="007D1864"/>
    <w:pPr>
      <w:spacing w:after="0"/>
    </w:pPr>
    <w:tblPr>
      <w:tblStyleRowBandSize w:val="1"/>
      <w:tblStyleColBandSize w:val="1"/>
      <w:tblBorders>
        <w:top w:val="single" w:sz="2" w:space="0" w:color="C176BB" w:themeColor="accent6" w:themeTint="99"/>
        <w:bottom w:val="single" w:sz="2" w:space="0" w:color="C176BB" w:themeColor="accent6" w:themeTint="99"/>
        <w:insideH w:val="single" w:sz="2" w:space="0" w:color="C176BB" w:themeColor="accent6" w:themeTint="99"/>
        <w:insideV w:val="single" w:sz="2" w:space="0" w:color="C176BB" w:themeColor="accent6" w:themeTint="99"/>
      </w:tblBorders>
    </w:tblPr>
    <w:tblStylePr w:type="firstRow">
      <w:rPr>
        <w:b/>
        <w:bCs/>
      </w:rPr>
      <w:tblPr/>
      <w:tcPr>
        <w:tcBorders>
          <w:top w:val="nil"/>
          <w:bottom w:val="single" w:sz="12" w:space="0" w:color="C176BB" w:themeColor="accent6" w:themeTint="99"/>
          <w:insideH w:val="nil"/>
          <w:insideV w:val="nil"/>
        </w:tcBorders>
        <w:shd w:val="clear" w:color="auto" w:fill="FFFFFF" w:themeFill="background1"/>
      </w:tcPr>
    </w:tblStylePr>
    <w:tblStylePr w:type="lastRow">
      <w:rPr>
        <w:b/>
        <w:bCs/>
      </w:rPr>
      <w:tblPr/>
      <w:tcPr>
        <w:tcBorders>
          <w:top w:val="double" w:sz="2" w:space="0" w:color="C176BB"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D1E8" w:themeFill="accent6" w:themeFillTint="33"/>
      </w:tcPr>
    </w:tblStylePr>
    <w:tblStylePr w:type="band1Horz">
      <w:tblPr/>
      <w:tcPr>
        <w:shd w:val="clear" w:color="auto" w:fill="EAD1E8" w:themeFill="accent6" w:themeFillTint="33"/>
      </w:tcPr>
    </w:tblStylePr>
  </w:style>
  <w:style w:type="table" w:styleId="GridTable3">
    <w:name w:val="Grid Table 3"/>
    <w:basedOn w:val="TableNormal"/>
    <w:uiPriority w:val="48"/>
    <w:semiHidden/>
    <w:rsid w:val="007D1864"/>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semiHidden/>
    <w:rsid w:val="007D1864"/>
    <w:pPr>
      <w:spacing w:after="0"/>
    </w:pPr>
    <w:tblPr>
      <w:tblStyleRowBandSize w:val="1"/>
      <w:tblStyleColBandSize w:val="1"/>
      <w:tblBorders>
        <w:top w:val="single" w:sz="4" w:space="0" w:color="38BFFC" w:themeColor="accent1" w:themeTint="99"/>
        <w:left w:val="single" w:sz="4" w:space="0" w:color="38BFFC" w:themeColor="accent1" w:themeTint="99"/>
        <w:bottom w:val="single" w:sz="4" w:space="0" w:color="38BFFC" w:themeColor="accent1" w:themeTint="99"/>
        <w:right w:val="single" w:sz="4" w:space="0" w:color="38BFFC" w:themeColor="accent1" w:themeTint="99"/>
        <w:insideH w:val="single" w:sz="4" w:space="0" w:color="38BFFC" w:themeColor="accent1" w:themeTint="99"/>
        <w:insideV w:val="single" w:sz="4" w:space="0" w:color="38BFFC"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E9FE" w:themeFill="accent1" w:themeFillTint="33"/>
      </w:tcPr>
    </w:tblStylePr>
    <w:tblStylePr w:type="band1Horz">
      <w:tblPr/>
      <w:tcPr>
        <w:shd w:val="clear" w:color="auto" w:fill="BCE9FE" w:themeFill="accent1" w:themeFillTint="33"/>
      </w:tcPr>
    </w:tblStylePr>
    <w:tblStylePr w:type="neCell">
      <w:tblPr/>
      <w:tcPr>
        <w:tcBorders>
          <w:bottom w:val="single" w:sz="4" w:space="0" w:color="38BFFC" w:themeColor="accent1" w:themeTint="99"/>
        </w:tcBorders>
      </w:tcPr>
    </w:tblStylePr>
    <w:tblStylePr w:type="nwCell">
      <w:tblPr/>
      <w:tcPr>
        <w:tcBorders>
          <w:bottom w:val="single" w:sz="4" w:space="0" w:color="38BFFC" w:themeColor="accent1" w:themeTint="99"/>
        </w:tcBorders>
      </w:tcPr>
    </w:tblStylePr>
    <w:tblStylePr w:type="seCell">
      <w:tblPr/>
      <w:tcPr>
        <w:tcBorders>
          <w:top w:val="single" w:sz="4" w:space="0" w:color="38BFFC" w:themeColor="accent1" w:themeTint="99"/>
        </w:tcBorders>
      </w:tcPr>
    </w:tblStylePr>
    <w:tblStylePr w:type="swCell">
      <w:tblPr/>
      <w:tcPr>
        <w:tcBorders>
          <w:top w:val="single" w:sz="4" w:space="0" w:color="38BFFC" w:themeColor="accent1" w:themeTint="99"/>
        </w:tcBorders>
      </w:tcPr>
    </w:tblStylePr>
  </w:style>
  <w:style w:type="table" w:styleId="GridTable3-Accent2">
    <w:name w:val="Grid Table 3 Accent 2"/>
    <w:basedOn w:val="TableNormal"/>
    <w:uiPriority w:val="48"/>
    <w:semiHidden/>
    <w:rsid w:val="007D1864"/>
    <w:pPr>
      <w:spacing w:after="0"/>
    </w:pPr>
    <w:tblPr>
      <w:tblStyleRowBandSize w:val="1"/>
      <w:tblStyleColBandSize w:val="1"/>
      <w:tblBorders>
        <w:top w:val="single" w:sz="4" w:space="0" w:color="FDD373" w:themeColor="accent2" w:themeTint="99"/>
        <w:left w:val="single" w:sz="4" w:space="0" w:color="FDD373" w:themeColor="accent2" w:themeTint="99"/>
        <w:bottom w:val="single" w:sz="4" w:space="0" w:color="FDD373" w:themeColor="accent2" w:themeTint="99"/>
        <w:right w:val="single" w:sz="4" w:space="0" w:color="FDD373" w:themeColor="accent2" w:themeTint="99"/>
        <w:insideH w:val="single" w:sz="4" w:space="0" w:color="FDD373" w:themeColor="accent2" w:themeTint="99"/>
        <w:insideV w:val="single" w:sz="4" w:space="0" w:color="FDD37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F0D0" w:themeFill="accent2" w:themeFillTint="33"/>
      </w:tcPr>
    </w:tblStylePr>
    <w:tblStylePr w:type="band1Horz">
      <w:tblPr/>
      <w:tcPr>
        <w:shd w:val="clear" w:color="auto" w:fill="FEF0D0" w:themeFill="accent2" w:themeFillTint="33"/>
      </w:tcPr>
    </w:tblStylePr>
    <w:tblStylePr w:type="neCell">
      <w:tblPr/>
      <w:tcPr>
        <w:tcBorders>
          <w:bottom w:val="single" w:sz="4" w:space="0" w:color="FDD373" w:themeColor="accent2" w:themeTint="99"/>
        </w:tcBorders>
      </w:tcPr>
    </w:tblStylePr>
    <w:tblStylePr w:type="nwCell">
      <w:tblPr/>
      <w:tcPr>
        <w:tcBorders>
          <w:bottom w:val="single" w:sz="4" w:space="0" w:color="FDD373" w:themeColor="accent2" w:themeTint="99"/>
        </w:tcBorders>
      </w:tcPr>
    </w:tblStylePr>
    <w:tblStylePr w:type="seCell">
      <w:tblPr/>
      <w:tcPr>
        <w:tcBorders>
          <w:top w:val="single" w:sz="4" w:space="0" w:color="FDD373" w:themeColor="accent2" w:themeTint="99"/>
        </w:tcBorders>
      </w:tcPr>
    </w:tblStylePr>
    <w:tblStylePr w:type="swCell">
      <w:tblPr/>
      <w:tcPr>
        <w:tcBorders>
          <w:top w:val="single" w:sz="4" w:space="0" w:color="FDD373" w:themeColor="accent2" w:themeTint="99"/>
        </w:tcBorders>
      </w:tcPr>
    </w:tblStylePr>
  </w:style>
  <w:style w:type="table" w:styleId="GridTable3-Accent3">
    <w:name w:val="Grid Table 3 Accent 3"/>
    <w:basedOn w:val="TableNormal"/>
    <w:uiPriority w:val="48"/>
    <w:semiHidden/>
    <w:rsid w:val="007D1864"/>
    <w:pPr>
      <w:spacing w:after="0"/>
    </w:pPr>
    <w:tblPr>
      <w:tblStyleRowBandSize w:val="1"/>
      <w:tblStyleColBandSize w:val="1"/>
      <w:tblBorders>
        <w:top w:val="single" w:sz="4" w:space="0" w:color="A7D38C" w:themeColor="accent3" w:themeTint="99"/>
        <w:left w:val="single" w:sz="4" w:space="0" w:color="A7D38C" w:themeColor="accent3" w:themeTint="99"/>
        <w:bottom w:val="single" w:sz="4" w:space="0" w:color="A7D38C" w:themeColor="accent3" w:themeTint="99"/>
        <w:right w:val="single" w:sz="4" w:space="0" w:color="A7D38C" w:themeColor="accent3" w:themeTint="99"/>
        <w:insideH w:val="single" w:sz="4" w:space="0" w:color="A7D38C" w:themeColor="accent3" w:themeTint="99"/>
        <w:insideV w:val="single" w:sz="4" w:space="0" w:color="A7D38C"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F0D8" w:themeFill="accent3" w:themeFillTint="33"/>
      </w:tcPr>
    </w:tblStylePr>
    <w:tblStylePr w:type="band1Horz">
      <w:tblPr/>
      <w:tcPr>
        <w:shd w:val="clear" w:color="auto" w:fill="E1F0D8" w:themeFill="accent3" w:themeFillTint="33"/>
      </w:tcPr>
    </w:tblStylePr>
    <w:tblStylePr w:type="neCell">
      <w:tblPr/>
      <w:tcPr>
        <w:tcBorders>
          <w:bottom w:val="single" w:sz="4" w:space="0" w:color="A7D38C" w:themeColor="accent3" w:themeTint="99"/>
        </w:tcBorders>
      </w:tcPr>
    </w:tblStylePr>
    <w:tblStylePr w:type="nwCell">
      <w:tblPr/>
      <w:tcPr>
        <w:tcBorders>
          <w:bottom w:val="single" w:sz="4" w:space="0" w:color="A7D38C" w:themeColor="accent3" w:themeTint="99"/>
        </w:tcBorders>
      </w:tcPr>
    </w:tblStylePr>
    <w:tblStylePr w:type="seCell">
      <w:tblPr/>
      <w:tcPr>
        <w:tcBorders>
          <w:top w:val="single" w:sz="4" w:space="0" w:color="A7D38C" w:themeColor="accent3" w:themeTint="99"/>
        </w:tcBorders>
      </w:tcPr>
    </w:tblStylePr>
    <w:tblStylePr w:type="swCell">
      <w:tblPr/>
      <w:tcPr>
        <w:tcBorders>
          <w:top w:val="single" w:sz="4" w:space="0" w:color="A7D38C" w:themeColor="accent3" w:themeTint="99"/>
        </w:tcBorders>
      </w:tcPr>
    </w:tblStylePr>
  </w:style>
  <w:style w:type="table" w:styleId="GridTable3-Accent4">
    <w:name w:val="Grid Table 3 Accent 4"/>
    <w:basedOn w:val="TableNormal"/>
    <w:uiPriority w:val="48"/>
    <w:semiHidden/>
    <w:rsid w:val="007D1864"/>
    <w:pPr>
      <w:spacing w:after="0"/>
    </w:pPr>
    <w:tblPr>
      <w:tblStyleRowBandSize w:val="1"/>
      <w:tblStyleColBandSize w:val="1"/>
      <w:tblBorders>
        <w:top w:val="single" w:sz="4" w:space="0" w:color="FFB266" w:themeColor="accent4" w:themeTint="99"/>
        <w:left w:val="single" w:sz="4" w:space="0" w:color="FFB266" w:themeColor="accent4" w:themeTint="99"/>
        <w:bottom w:val="single" w:sz="4" w:space="0" w:color="FFB266" w:themeColor="accent4" w:themeTint="99"/>
        <w:right w:val="single" w:sz="4" w:space="0" w:color="FFB266" w:themeColor="accent4" w:themeTint="99"/>
        <w:insideH w:val="single" w:sz="4" w:space="0" w:color="FFB266" w:themeColor="accent4" w:themeTint="99"/>
        <w:insideV w:val="single" w:sz="4" w:space="0" w:color="FFB2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5CC" w:themeFill="accent4" w:themeFillTint="33"/>
      </w:tcPr>
    </w:tblStylePr>
    <w:tblStylePr w:type="band1Horz">
      <w:tblPr/>
      <w:tcPr>
        <w:shd w:val="clear" w:color="auto" w:fill="FFE5CC" w:themeFill="accent4" w:themeFillTint="33"/>
      </w:tcPr>
    </w:tblStylePr>
    <w:tblStylePr w:type="neCell">
      <w:tblPr/>
      <w:tcPr>
        <w:tcBorders>
          <w:bottom w:val="single" w:sz="4" w:space="0" w:color="FFB266" w:themeColor="accent4" w:themeTint="99"/>
        </w:tcBorders>
      </w:tcPr>
    </w:tblStylePr>
    <w:tblStylePr w:type="nwCell">
      <w:tblPr/>
      <w:tcPr>
        <w:tcBorders>
          <w:bottom w:val="single" w:sz="4" w:space="0" w:color="FFB266" w:themeColor="accent4" w:themeTint="99"/>
        </w:tcBorders>
      </w:tcPr>
    </w:tblStylePr>
    <w:tblStylePr w:type="seCell">
      <w:tblPr/>
      <w:tcPr>
        <w:tcBorders>
          <w:top w:val="single" w:sz="4" w:space="0" w:color="FFB266" w:themeColor="accent4" w:themeTint="99"/>
        </w:tcBorders>
      </w:tcPr>
    </w:tblStylePr>
    <w:tblStylePr w:type="swCell">
      <w:tblPr/>
      <w:tcPr>
        <w:tcBorders>
          <w:top w:val="single" w:sz="4" w:space="0" w:color="FFB266" w:themeColor="accent4" w:themeTint="99"/>
        </w:tcBorders>
      </w:tcPr>
    </w:tblStylePr>
  </w:style>
  <w:style w:type="table" w:styleId="GridTable3-Accent5">
    <w:name w:val="Grid Table 3 Accent 5"/>
    <w:basedOn w:val="TableNormal"/>
    <w:uiPriority w:val="48"/>
    <w:semiHidden/>
    <w:rsid w:val="007D1864"/>
    <w:pPr>
      <w:spacing w:after="0"/>
    </w:pPr>
    <w:tblPr>
      <w:tblStyleRowBandSize w:val="1"/>
      <w:tblStyleColBandSize w:val="1"/>
      <w:tblBorders>
        <w:top w:val="single" w:sz="4" w:space="0" w:color="FF477F" w:themeColor="accent5" w:themeTint="99"/>
        <w:left w:val="single" w:sz="4" w:space="0" w:color="FF477F" w:themeColor="accent5" w:themeTint="99"/>
        <w:bottom w:val="single" w:sz="4" w:space="0" w:color="FF477F" w:themeColor="accent5" w:themeTint="99"/>
        <w:right w:val="single" w:sz="4" w:space="0" w:color="FF477F" w:themeColor="accent5" w:themeTint="99"/>
        <w:insideH w:val="single" w:sz="4" w:space="0" w:color="FF477F" w:themeColor="accent5" w:themeTint="99"/>
        <w:insideV w:val="single" w:sz="4" w:space="0" w:color="FF477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1D4" w:themeFill="accent5" w:themeFillTint="33"/>
      </w:tcPr>
    </w:tblStylePr>
    <w:tblStylePr w:type="band1Horz">
      <w:tblPr/>
      <w:tcPr>
        <w:shd w:val="clear" w:color="auto" w:fill="FFC1D4" w:themeFill="accent5" w:themeFillTint="33"/>
      </w:tcPr>
    </w:tblStylePr>
    <w:tblStylePr w:type="neCell">
      <w:tblPr/>
      <w:tcPr>
        <w:tcBorders>
          <w:bottom w:val="single" w:sz="4" w:space="0" w:color="FF477F" w:themeColor="accent5" w:themeTint="99"/>
        </w:tcBorders>
      </w:tcPr>
    </w:tblStylePr>
    <w:tblStylePr w:type="nwCell">
      <w:tblPr/>
      <w:tcPr>
        <w:tcBorders>
          <w:bottom w:val="single" w:sz="4" w:space="0" w:color="FF477F" w:themeColor="accent5" w:themeTint="99"/>
        </w:tcBorders>
      </w:tcPr>
    </w:tblStylePr>
    <w:tblStylePr w:type="seCell">
      <w:tblPr/>
      <w:tcPr>
        <w:tcBorders>
          <w:top w:val="single" w:sz="4" w:space="0" w:color="FF477F" w:themeColor="accent5" w:themeTint="99"/>
        </w:tcBorders>
      </w:tcPr>
    </w:tblStylePr>
    <w:tblStylePr w:type="swCell">
      <w:tblPr/>
      <w:tcPr>
        <w:tcBorders>
          <w:top w:val="single" w:sz="4" w:space="0" w:color="FF477F" w:themeColor="accent5" w:themeTint="99"/>
        </w:tcBorders>
      </w:tcPr>
    </w:tblStylePr>
  </w:style>
  <w:style w:type="table" w:styleId="GridTable3-Accent6">
    <w:name w:val="Grid Table 3 Accent 6"/>
    <w:basedOn w:val="TableNormal"/>
    <w:uiPriority w:val="48"/>
    <w:semiHidden/>
    <w:rsid w:val="007D1864"/>
    <w:pPr>
      <w:spacing w:after="0"/>
    </w:pPr>
    <w:tblPr>
      <w:tblStyleRowBandSize w:val="1"/>
      <w:tblStyleColBandSize w:val="1"/>
      <w:tblBorders>
        <w:top w:val="single" w:sz="4" w:space="0" w:color="C176BB" w:themeColor="accent6" w:themeTint="99"/>
        <w:left w:val="single" w:sz="4" w:space="0" w:color="C176BB" w:themeColor="accent6" w:themeTint="99"/>
        <w:bottom w:val="single" w:sz="4" w:space="0" w:color="C176BB" w:themeColor="accent6" w:themeTint="99"/>
        <w:right w:val="single" w:sz="4" w:space="0" w:color="C176BB" w:themeColor="accent6" w:themeTint="99"/>
        <w:insideH w:val="single" w:sz="4" w:space="0" w:color="C176BB" w:themeColor="accent6" w:themeTint="99"/>
        <w:insideV w:val="single" w:sz="4" w:space="0" w:color="C176B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1E8" w:themeFill="accent6" w:themeFillTint="33"/>
      </w:tcPr>
    </w:tblStylePr>
    <w:tblStylePr w:type="band1Horz">
      <w:tblPr/>
      <w:tcPr>
        <w:shd w:val="clear" w:color="auto" w:fill="EAD1E8" w:themeFill="accent6" w:themeFillTint="33"/>
      </w:tcPr>
    </w:tblStylePr>
    <w:tblStylePr w:type="neCell">
      <w:tblPr/>
      <w:tcPr>
        <w:tcBorders>
          <w:bottom w:val="single" w:sz="4" w:space="0" w:color="C176BB" w:themeColor="accent6" w:themeTint="99"/>
        </w:tcBorders>
      </w:tcPr>
    </w:tblStylePr>
    <w:tblStylePr w:type="nwCell">
      <w:tblPr/>
      <w:tcPr>
        <w:tcBorders>
          <w:bottom w:val="single" w:sz="4" w:space="0" w:color="C176BB" w:themeColor="accent6" w:themeTint="99"/>
        </w:tcBorders>
      </w:tcPr>
    </w:tblStylePr>
    <w:tblStylePr w:type="seCell">
      <w:tblPr/>
      <w:tcPr>
        <w:tcBorders>
          <w:top w:val="single" w:sz="4" w:space="0" w:color="C176BB" w:themeColor="accent6" w:themeTint="99"/>
        </w:tcBorders>
      </w:tcPr>
    </w:tblStylePr>
    <w:tblStylePr w:type="swCell">
      <w:tblPr/>
      <w:tcPr>
        <w:tcBorders>
          <w:top w:val="single" w:sz="4" w:space="0" w:color="C176BB" w:themeColor="accent6" w:themeTint="99"/>
        </w:tcBorders>
      </w:tcPr>
    </w:tblStylePr>
  </w:style>
  <w:style w:type="table" w:styleId="GridTable4">
    <w:name w:val="Grid Table 4"/>
    <w:basedOn w:val="TableNormal"/>
    <w:uiPriority w:val="49"/>
    <w:semiHidden/>
    <w:rsid w:val="007D1864"/>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semiHidden/>
    <w:rsid w:val="007D1864"/>
    <w:pPr>
      <w:spacing w:after="0"/>
    </w:pPr>
    <w:tblPr>
      <w:tblStyleRowBandSize w:val="1"/>
      <w:tblStyleColBandSize w:val="1"/>
      <w:tblBorders>
        <w:top w:val="single" w:sz="4" w:space="0" w:color="38BFFC" w:themeColor="accent1" w:themeTint="99"/>
        <w:left w:val="single" w:sz="4" w:space="0" w:color="38BFFC" w:themeColor="accent1" w:themeTint="99"/>
        <w:bottom w:val="single" w:sz="4" w:space="0" w:color="38BFFC" w:themeColor="accent1" w:themeTint="99"/>
        <w:right w:val="single" w:sz="4" w:space="0" w:color="38BFFC" w:themeColor="accent1" w:themeTint="99"/>
        <w:insideH w:val="single" w:sz="4" w:space="0" w:color="38BFFC" w:themeColor="accent1" w:themeTint="99"/>
        <w:insideV w:val="single" w:sz="4" w:space="0" w:color="38BFFC" w:themeColor="accent1" w:themeTint="99"/>
      </w:tblBorders>
    </w:tblPr>
    <w:tblStylePr w:type="firstRow">
      <w:rPr>
        <w:b/>
        <w:bCs/>
        <w:color w:val="FFFFFF" w:themeColor="background1"/>
      </w:rPr>
      <w:tblPr/>
      <w:tcPr>
        <w:tcBorders>
          <w:top w:val="single" w:sz="4" w:space="0" w:color="0278AD" w:themeColor="accent1"/>
          <w:left w:val="single" w:sz="4" w:space="0" w:color="0278AD" w:themeColor="accent1"/>
          <w:bottom w:val="single" w:sz="4" w:space="0" w:color="0278AD" w:themeColor="accent1"/>
          <w:right w:val="single" w:sz="4" w:space="0" w:color="0278AD" w:themeColor="accent1"/>
          <w:insideH w:val="nil"/>
          <w:insideV w:val="nil"/>
        </w:tcBorders>
        <w:shd w:val="clear" w:color="auto" w:fill="0278AD" w:themeFill="accent1"/>
      </w:tcPr>
    </w:tblStylePr>
    <w:tblStylePr w:type="lastRow">
      <w:rPr>
        <w:b/>
        <w:bCs/>
      </w:rPr>
      <w:tblPr/>
      <w:tcPr>
        <w:tcBorders>
          <w:top w:val="double" w:sz="4" w:space="0" w:color="0278AD" w:themeColor="accent1"/>
        </w:tcBorders>
      </w:tcPr>
    </w:tblStylePr>
    <w:tblStylePr w:type="firstCol">
      <w:rPr>
        <w:b/>
        <w:bCs/>
      </w:rPr>
    </w:tblStylePr>
    <w:tblStylePr w:type="lastCol">
      <w:rPr>
        <w:b/>
        <w:bCs/>
      </w:rPr>
    </w:tblStylePr>
    <w:tblStylePr w:type="band1Vert">
      <w:tblPr/>
      <w:tcPr>
        <w:shd w:val="clear" w:color="auto" w:fill="BCE9FE" w:themeFill="accent1" w:themeFillTint="33"/>
      </w:tcPr>
    </w:tblStylePr>
    <w:tblStylePr w:type="band1Horz">
      <w:tblPr/>
      <w:tcPr>
        <w:shd w:val="clear" w:color="auto" w:fill="BCE9FE" w:themeFill="accent1" w:themeFillTint="33"/>
      </w:tcPr>
    </w:tblStylePr>
  </w:style>
  <w:style w:type="table" w:styleId="GridTable4-Accent2">
    <w:name w:val="Grid Table 4 Accent 2"/>
    <w:basedOn w:val="TableNormal"/>
    <w:uiPriority w:val="49"/>
    <w:semiHidden/>
    <w:rsid w:val="007D1864"/>
    <w:pPr>
      <w:spacing w:after="0"/>
    </w:pPr>
    <w:tblPr>
      <w:tblStyleRowBandSize w:val="1"/>
      <w:tblStyleColBandSize w:val="1"/>
      <w:tblBorders>
        <w:top w:val="single" w:sz="4" w:space="0" w:color="FDD373" w:themeColor="accent2" w:themeTint="99"/>
        <w:left w:val="single" w:sz="4" w:space="0" w:color="FDD373" w:themeColor="accent2" w:themeTint="99"/>
        <w:bottom w:val="single" w:sz="4" w:space="0" w:color="FDD373" w:themeColor="accent2" w:themeTint="99"/>
        <w:right w:val="single" w:sz="4" w:space="0" w:color="FDD373" w:themeColor="accent2" w:themeTint="99"/>
        <w:insideH w:val="single" w:sz="4" w:space="0" w:color="FDD373" w:themeColor="accent2" w:themeTint="99"/>
        <w:insideV w:val="single" w:sz="4" w:space="0" w:color="FDD373" w:themeColor="accent2" w:themeTint="99"/>
      </w:tblBorders>
    </w:tblPr>
    <w:tblStylePr w:type="firstRow">
      <w:rPr>
        <w:b/>
        <w:bCs/>
        <w:color w:val="FFFFFF" w:themeColor="background1"/>
      </w:rPr>
      <w:tblPr/>
      <w:tcPr>
        <w:tcBorders>
          <w:top w:val="single" w:sz="4" w:space="0" w:color="FCB717" w:themeColor="accent2"/>
          <w:left w:val="single" w:sz="4" w:space="0" w:color="FCB717" w:themeColor="accent2"/>
          <w:bottom w:val="single" w:sz="4" w:space="0" w:color="FCB717" w:themeColor="accent2"/>
          <w:right w:val="single" w:sz="4" w:space="0" w:color="FCB717" w:themeColor="accent2"/>
          <w:insideH w:val="nil"/>
          <w:insideV w:val="nil"/>
        </w:tcBorders>
        <w:shd w:val="clear" w:color="auto" w:fill="FCB717" w:themeFill="accent2"/>
      </w:tcPr>
    </w:tblStylePr>
    <w:tblStylePr w:type="lastRow">
      <w:rPr>
        <w:b/>
        <w:bCs/>
      </w:rPr>
      <w:tblPr/>
      <w:tcPr>
        <w:tcBorders>
          <w:top w:val="double" w:sz="4" w:space="0" w:color="FCB717" w:themeColor="accent2"/>
        </w:tcBorders>
      </w:tcPr>
    </w:tblStylePr>
    <w:tblStylePr w:type="firstCol">
      <w:rPr>
        <w:b/>
        <w:bCs/>
      </w:rPr>
    </w:tblStylePr>
    <w:tblStylePr w:type="lastCol">
      <w:rPr>
        <w:b/>
        <w:bCs/>
      </w:rPr>
    </w:tblStylePr>
    <w:tblStylePr w:type="band1Vert">
      <w:tblPr/>
      <w:tcPr>
        <w:shd w:val="clear" w:color="auto" w:fill="FEF0D0" w:themeFill="accent2" w:themeFillTint="33"/>
      </w:tcPr>
    </w:tblStylePr>
    <w:tblStylePr w:type="band1Horz">
      <w:tblPr/>
      <w:tcPr>
        <w:shd w:val="clear" w:color="auto" w:fill="FEF0D0" w:themeFill="accent2" w:themeFillTint="33"/>
      </w:tcPr>
    </w:tblStylePr>
  </w:style>
  <w:style w:type="table" w:styleId="GridTable4-Accent3">
    <w:name w:val="Grid Table 4 Accent 3"/>
    <w:basedOn w:val="TableNormal"/>
    <w:uiPriority w:val="49"/>
    <w:semiHidden/>
    <w:rsid w:val="007D1864"/>
    <w:pPr>
      <w:spacing w:after="0"/>
    </w:pPr>
    <w:tblPr>
      <w:tblStyleRowBandSize w:val="1"/>
      <w:tblStyleColBandSize w:val="1"/>
      <w:tblBorders>
        <w:top w:val="single" w:sz="4" w:space="0" w:color="A7D38C" w:themeColor="accent3" w:themeTint="99"/>
        <w:left w:val="single" w:sz="4" w:space="0" w:color="A7D38C" w:themeColor="accent3" w:themeTint="99"/>
        <w:bottom w:val="single" w:sz="4" w:space="0" w:color="A7D38C" w:themeColor="accent3" w:themeTint="99"/>
        <w:right w:val="single" w:sz="4" w:space="0" w:color="A7D38C" w:themeColor="accent3" w:themeTint="99"/>
        <w:insideH w:val="single" w:sz="4" w:space="0" w:color="A7D38C" w:themeColor="accent3" w:themeTint="99"/>
        <w:insideV w:val="single" w:sz="4" w:space="0" w:color="A7D38C" w:themeColor="accent3" w:themeTint="99"/>
      </w:tblBorders>
    </w:tblPr>
    <w:tblStylePr w:type="firstRow">
      <w:rPr>
        <w:b/>
        <w:bCs/>
        <w:color w:val="FFFFFF" w:themeColor="background1"/>
      </w:rPr>
      <w:tblPr/>
      <w:tcPr>
        <w:tcBorders>
          <w:top w:val="single" w:sz="4" w:space="0" w:color="6EB444" w:themeColor="accent3"/>
          <w:left w:val="single" w:sz="4" w:space="0" w:color="6EB444" w:themeColor="accent3"/>
          <w:bottom w:val="single" w:sz="4" w:space="0" w:color="6EB444" w:themeColor="accent3"/>
          <w:right w:val="single" w:sz="4" w:space="0" w:color="6EB444" w:themeColor="accent3"/>
          <w:insideH w:val="nil"/>
          <w:insideV w:val="nil"/>
        </w:tcBorders>
        <w:shd w:val="clear" w:color="auto" w:fill="6EB444" w:themeFill="accent3"/>
      </w:tcPr>
    </w:tblStylePr>
    <w:tblStylePr w:type="lastRow">
      <w:rPr>
        <w:b/>
        <w:bCs/>
      </w:rPr>
      <w:tblPr/>
      <w:tcPr>
        <w:tcBorders>
          <w:top w:val="double" w:sz="4" w:space="0" w:color="6EB444" w:themeColor="accent3"/>
        </w:tcBorders>
      </w:tcPr>
    </w:tblStylePr>
    <w:tblStylePr w:type="firstCol">
      <w:rPr>
        <w:b/>
        <w:bCs/>
      </w:rPr>
    </w:tblStylePr>
    <w:tblStylePr w:type="lastCol">
      <w:rPr>
        <w:b/>
        <w:bCs/>
      </w:rPr>
    </w:tblStylePr>
    <w:tblStylePr w:type="band1Vert">
      <w:tblPr/>
      <w:tcPr>
        <w:shd w:val="clear" w:color="auto" w:fill="E1F0D8" w:themeFill="accent3" w:themeFillTint="33"/>
      </w:tcPr>
    </w:tblStylePr>
    <w:tblStylePr w:type="band1Horz">
      <w:tblPr/>
      <w:tcPr>
        <w:shd w:val="clear" w:color="auto" w:fill="E1F0D8" w:themeFill="accent3" w:themeFillTint="33"/>
      </w:tcPr>
    </w:tblStylePr>
  </w:style>
  <w:style w:type="table" w:styleId="GridTable4-Accent4">
    <w:name w:val="Grid Table 4 Accent 4"/>
    <w:basedOn w:val="TableNormal"/>
    <w:uiPriority w:val="49"/>
    <w:semiHidden/>
    <w:rsid w:val="007D1864"/>
    <w:pPr>
      <w:spacing w:after="0"/>
    </w:pPr>
    <w:tblPr>
      <w:tblStyleRowBandSize w:val="1"/>
      <w:tblStyleColBandSize w:val="1"/>
      <w:tblBorders>
        <w:top w:val="single" w:sz="4" w:space="0" w:color="FFB266" w:themeColor="accent4" w:themeTint="99"/>
        <w:left w:val="single" w:sz="4" w:space="0" w:color="FFB266" w:themeColor="accent4" w:themeTint="99"/>
        <w:bottom w:val="single" w:sz="4" w:space="0" w:color="FFB266" w:themeColor="accent4" w:themeTint="99"/>
        <w:right w:val="single" w:sz="4" w:space="0" w:color="FFB266" w:themeColor="accent4" w:themeTint="99"/>
        <w:insideH w:val="single" w:sz="4" w:space="0" w:color="FFB266" w:themeColor="accent4" w:themeTint="99"/>
        <w:insideV w:val="single" w:sz="4" w:space="0" w:color="FFB266" w:themeColor="accent4" w:themeTint="99"/>
      </w:tblBorders>
    </w:tblPr>
    <w:tblStylePr w:type="firstRow">
      <w:rPr>
        <w:b/>
        <w:bCs/>
        <w:color w:val="FFFFFF" w:themeColor="background1"/>
      </w:rPr>
      <w:tblPr/>
      <w:tcPr>
        <w:tcBorders>
          <w:top w:val="single" w:sz="4" w:space="0" w:color="FF8000" w:themeColor="accent4"/>
          <w:left w:val="single" w:sz="4" w:space="0" w:color="FF8000" w:themeColor="accent4"/>
          <w:bottom w:val="single" w:sz="4" w:space="0" w:color="FF8000" w:themeColor="accent4"/>
          <w:right w:val="single" w:sz="4" w:space="0" w:color="FF8000" w:themeColor="accent4"/>
          <w:insideH w:val="nil"/>
          <w:insideV w:val="nil"/>
        </w:tcBorders>
        <w:shd w:val="clear" w:color="auto" w:fill="FF8000" w:themeFill="accent4"/>
      </w:tcPr>
    </w:tblStylePr>
    <w:tblStylePr w:type="lastRow">
      <w:rPr>
        <w:b/>
        <w:bCs/>
      </w:rPr>
      <w:tblPr/>
      <w:tcPr>
        <w:tcBorders>
          <w:top w:val="double" w:sz="4" w:space="0" w:color="FF8000" w:themeColor="accent4"/>
        </w:tcBorders>
      </w:tcPr>
    </w:tblStylePr>
    <w:tblStylePr w:type="firstCol">
      <w:rPr>
        <w:b/>
        <w:bCs/>
      </w:rPr>
    </w:tblStylePr>
    <w:tblStylePr w:type="lastCol">
      <w:rPr>
        <w:b/>
        <w:bCs/>
      </w:rPr>
    </w:tblStylePr>
    <w:tblStylePr w:type="band1Vert">
      <w:tblPr/>
      <w:tcPr>
        <w:shd w:val="clear" w:color="auto" w:fill="FFE5CC" w:themeFill="accent4" w:themeFillTint="33"/>
      </w:tcPr>
    </w:tblStylePr>
    <w:tblStylePr w:type="band1Horz">
      <w:tblPr/>
      <w:tcPr>
        <w:shd w:val="clear" w:color="auto" w:fill="FFE5CC" w:themeFill="accent4" w:themeFillTint="33"/>
      </w:tcPr>
    </w:tblStylePr>
  </w:style>
  <w:style w:type="table" w:styleId="GridTable4-Accent5">
    <w:name w:val="Grid Table 4 Accent 5"/>
    <w:basedOn w:val="TableNormal"/>
    <w:uiPriority w:val="49"/>
    <w:semiHidden/>
    <w:rsid w:val="007D1864"/>
    <w:pPr>
      <w:spacing w:after="0"/>
    </w:pPr>
    <w:tblPr>
      <w:tblStyleRowBandSize w:val="1"/>
      <w:tblStyleColBandSize w:val="1"/>
      <w:tblBorders>
        <w:top w:val="single" w:sz="4" w:space="0" w:color="FF477F" w:themeColor="accent5" w:themeTint="99"/>
        <w:left w:val="single" w:sz="4" w:space="0" w:color="FF477F" w:themeColor="accent5" w:themeTint="99"/>
        <w:bottom w:val="single" w:sz="4" w:space="0" w:color="FF477F" w:themeColor="accent5" w:themeTint="99"/>
        <w:right w:val="single" w:sz="4" w:space="0" w:color="FF477F" w:themeColor="accent5" w:themeTint="99"/>
        <w:insideH w:val="single" w:sz="4" w:space="0" w:color="FF477F" w:themeColor="accent5" w:themeTint="99"/>
        <w:insideV w:val="single" w:sz="4" w:space="0" w:color="FF477F" w:themeColor="accent5" w:themeTint="99"/>
      </w:tblBorders>
    </w:tblPr>
    <w:tblStylePr w:type="firstRow">
      <w:rPr>
        <w:b/>
        <w:bCs/>
        <w:color w:val="FFFFFF" w:themeColor="background1"/>
      </w:rPr>
      <w:tblPr/>
      <w:tcPr>
        <w:tcBorders>
          <w:top w:val="single" w:sz="4" w:space="0" w:color="CC003F" w:themeColor="accent5"/>
          <w:left w:val="single" w:sz="4" w:space="0" w:color="CC003F" w:themeColor="accent5"/>
          <w:bottom w:val="single" w:sz="4" w:space="0" w:color="CC003F" w:themeColor="accent5"/>
          <w:right w:val="single" w:sz="4" w:space="0" w:color="CC003F" w:themeColor="accent5"/>
          <w:insideH w:val="nil"/>
          <w:insideV w:val="nil"/>
        </w:tcBorders>
        <w:shd w:val="clear" w:color="auto" w:fill="CC003F" w:themeFill="accent5"/>
      </w:tcPr>
    </w:tblStylePr>
    <w:tblStylePr w:type="lastRow">
      <w:rPr>
        <w:b/>
        <w:bCs/>
      </w:rPr>
      <w:tblPr/>
      <w:tcPr>
        <w:tcBorders>
          <w:top w:val="double" w:sz="4" w:space="0" w:color="CC003F" w:themeColor="accent5"/>
        </w:tcBorders>
      </w:tcPr>
    </w:tblStylePr>
    <w:tblStylePr w:type="firstCol">
      <w:rPr>
        <w:b/>
        <w:bCs/>
      </w:rPr>
    </w:tblStylePr>
    <w:tblStylePr w:type="lastCol">
      <w:rPr>
        <w:b/>
        <w:bCs/>
      </w:rPr>
    </w:tblStylePr>
    <w:tblStylePr w:type="band1Vert">
      <w:tblPr/>
      <w:tcPr>
        <w:shd w:val="clear" w:color="auto" w:fill="FFC1D4" w:themeFill="accent5" w:themeFillTint="33"/>
      </w:tcPr>
    </w:tblStylePr>
    <w:tblStylePr w:type="band1Horz">
      <w:tblPr/>
      <w:tcPr>
        <w:shd w:val="clear" w:color="auto" w:fill="FFC1D4" w:themeFill="accent5" w:themeFillTint="33"/>
      </w:tcPr>
    </w:tblStylePr>
  </w:style>
  <w:style w:type="table" w:styleId="GridTable4-Accent6">
    <w:name w:val="Grid Table 4 Accent 6"/>
    <w:basedOn w:val="TableNormal"/>
    <w:uiPriority w:val="49"/>
    <w:semiHidden/>
    <w:rsid w:val="007D1864"/>
    <w:pPr>
      <w:spacing w:after="0"/>
    </w:pPr>
    <w:tblPr>
      <w:tblStyleRowBandSize w:val="1"/>
      <w:tblStyleColBandSize w:val="1"/>
      <w:tblBorders>
        <w:top w:val="single" w:sz="4" w:space="0" w:color="C176BB" w:themeColor="accent6" w:themeTint="99"/>
        <w:left w:val="single" w:sz="4" w:space="0" w:color="C176BB" w:themeColor="accent6" w:themeTint="99"/>
        <w:bottom w:val="single" w:sz="4" w:space="0" w:color="C176BB" w:themeColor="accent6" w:themeTint="99"/>
        <w:right w:val="single" w:sz="4" w:space="0" w:color="C176BB" w:themeColor="accent6" w:themeTint="99"/>
        <w:insideH w:val="single" w:sz="4" w:space="0" w:color="C176BB" w:themeColor="accent6" w:themeTint="99"/>
        <w:insideV w:val="single" w:sz="4" w:space="0" w:color="C176BB" w:themeColor="accent6" w:themeTint="99"/>
      </w:tblBorders>
    </w:tblPr>
    <w:tblStylePr w:type="firstRow">
      <w:rPr>
        <w:b/>
        <w:bCs/>
        <w:color w:val="FFFFFF" w:themeColor="background1"/>
      </w:rPr>
      <w:tblPr/>
      <w:tcPr>
        <w:tcBorders>
          <w:top w:val="single" w:sz="4" w:space="0" w:color="7C3877" w:themeColor="accent6"/>
          <w:left w:val="single" w:sz="4" w:space="0" w:color="7C3877" w:themeColor="accent6"/>
          <w:bottom w:val="single" w:sz="4" w:space="0" w:color="7C3877" w:themeColor="accent6"/>
          <w:right w:val="single" w:sz="4" w:space="0" w:color="7C3877" w:themeColor="accent6"/>
          <w:insideH w:val="nil"/>
          <w:insideV w:val="nil"/>
        </w:tcBorders>
        <w:shd w:val="clear" w:color="auto" w:fill="7C3877" w:themeFill="accent6"/>
      </w:tcPr>
    </w:tblStylePr>
    <w:tblStylePr w:type="lastRow">
      <w:rPr>
        <w:b/>
        <w:bCs/>
      </w:rPr>
      <w:tblPr/>
      <w:tcPr>
        <w:tcBorders>
          <w:top w:val="double" w:sz="4" w:space="0" w:color="7C3877" w:themeColor="accent6"/>
        </w:tcBorders>
      </w:tcPr>
    </w:tblStylePr>
    <w:tblStylePr w:type="firstCol">
      <w:rPr>
        <w:b/>
        <w:bCs/>
      </w:rPr>
    </w:tblStylePr>
    <w:tblStylePr w:type="lastCol">
      <w:rPr>
        <w:b/>
        <w:bCs/>
      </w:rPr>
    </w:tblStylePr>
    <w:tblStylePr w:type="band1Vert">
      <w:tblPr/>
      <w:tcPr>
        <w:shd w:val="clear" w:color="auto" w:fill="EAD1E8" w:themeFill="accent6" w:themeFillTint="33"/>
      </w:tcPr>
    </w:tblStylePr>
    <w:tblStylePr w:type="band1Horz">
      <w:tblPr/>
      <w:tcPr>
        <w:shd w:val="clear" w:color="auto" w:fill="EAD1E8" w:themeFill="accent6" w:themeFillTint="33"/>
      </w:tcPr>
    </w:tblStylePr>
  </w:style>
  <w:style w:type="table" w:styleId="GridTable5Dark">
    <w:name w:val="Grid Table 5 Dark"/>
    <w:basedOn w:val="TableNormal"/>
    <w:uiPriority w:val="50"/>
    <w:semiHidden/>
    <w:rsid w:val="007D186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semiHidden/>
    <w:rsid w:val="007D186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E9FE"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278A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278A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78A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278AD" w:themeFill="accent1"/>
      </w:tcPr>
    </w:tblStylePr>
    <w:tblStylePr w:type="band1Vert">
      <w:tblPr/>
      <w:tcPr>
        <w:shd w:val="clear" w:color="auto" w:fill="7AD4FD" w:themeFill="accent1" w:themeFillTint="66"/>
      </w:tcPr>
    </w:tblStylePr>
    <w:tblStylePr w:type="band1Horz">
      <w:tblPr/>
      <w:tcPr>
        <w:shd w:val="clear" w:color="auto" w:fill="7AD4FD" w:themeFill="accent1" w:themeFillTint="66"/>
      </w:tcPr>
    </w:tblStylePr>
  </w:style>
  <w:style w:type="table" w:styleId="GridTable5Dark-Accent2">
    <w:name w:val="Grid Table 5 Dark Accent 2"/>
    <w:basedOn w:val="TableNormal"/>
    <w:uiPriority w:val="50"/>
    <w:semiHidden/>
    <w:rsid w:val="007D186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F0D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CB71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CB71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CB71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CB717" w:themeFill="accent2"/>
      </w:tcPr>
    </w:tblStylePr>
    <w:tblStylePr w:type="band1Vert">
      <w:tblPr/>
      <w:tcPr>
        <w:shd w:val="clear" w:color="auto" w:fill="FDE2A2" w:themeFill="accent2" w:themeFillTint="66"/>
      </w:tcPr>
    </w:tblStylePr>
    <w:tblStylePr w:type="band1Horz">
      <w:tblPr/>
      <w:tcPr>
        <w:shd w:val="clear" w:color="auto" w:fill="FDE2A2" w:themeFill="accent2" w:themeFillTint="66"/>
      </w:tcPr>
    </w:tblStylePr>
  </w:style>
  <w:style w:type="table" w:styleId="GridTable5Dark-Accent3">
    <w:name w:val="Grid Table 5 Dark Accent 3"/>
    <w:basedOn w:val="TableNormal"/>
    <w:uiPriority w:val="50"/>
    <w:semiHidden/>
    <w:rsid w:val="007D186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1F0D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EB444"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EB444"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EB444"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EB444" w:themeFill="accent3"/>
      </w:tcPr>
    </w:tblStylePr>
    <w:tblStylePr w:type="band1Vert">
      <w:tblPr/>
      <w:tcPr>
        <w:shd w:val="clear" w:color="auto" w:fill="C4E2B2" w:themeFill="accent3" w:themeFillTint="66"/>
      </w:tcPr>
    </w:tblStylePr>
    <w:tblStylePr w:type="band1Horz">
      <w:tblPr/>
      <w:tcPr>
        <w:shd w:val="clear" w:color="auto" w:fill="C4E2B2" w:themeFill="accent3" w:themeFillTint="66"/>
      </w:tcPr>
    </w:tblStylePr>
  </w:style>
  <w:style w:type="table" w:styleId="GridTable5Dark-Accent4">
    <w:name w:val="Grid Table 5 Dark Accent 4"/>
    <w:basedOn w:val="TableNormal"/>
    <w:uiPriority w:val="50"/>
    <w:semiHidden/>
    <w:rsid w:val="007D186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5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000" w:themeFill="accent4"/>
      </w:tcPr>
    </w:tblStylePr>
    <w:tblStylePr w:type="band1Vert">
      <w:tblPr/>
      <w:tcPr>
        <w:shd w:val="clear" w:color="auto" w:fill="FFCC99" w:themeFill="accent4" w:themeFillTint="66"/>
      </w:tcPr>
    </w:tblStylePr>
    <w:tblStylePr w:type="band1Horz">
      <w:tblPr/>
      <w:tcPr>
        <w:shd w:val="clear" w:color="auto" w:fill="FFCC99" w:themeFill="accent4" w:themeFillTint="66"/>
      </w:tcPr>
    </w:tblStylePr>
  </w:style>
  <w:style w:type="table" w:styleId="GridTable5Dark-Accent5">
    <w:name w:val="Grid Table 5 Dark Accent 5"/>
    <w:basedOn w:val="TableNormal"/>
    <w:uiPriority w:val="50"/>
    <w:semiHidden/>
    <w:rsid w:val="007D186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1D4"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C003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C003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C003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C003F" w:themeFill="accent5"/>
      </w:tcPr>
    </w:tblStylePr>
    <w:tblStylePr w:type="band1Vert">
      <w:tblPr/>
      <w:tcPr>
        <w:shd w:val="clear" w:color="auto" w:fill="FF84A9" w:themeFill="accent5" w:themeFillTint="66"/>
      </w:tcPr>
    </w:tblStylePr>
    <w:tblStylePr w:type="band1Horz">
      <w:tblPr/>
      <w:tcPr>
        <w:shd w:val="clear" w:color="auto" w:fill="FF84A9" w:themeFill="accent5" w:themeFillTint="66"/>
      </w:tcPr>
    </w:tblStylePr>
  </w:style>
  <w:style w:type="table" w:styleId="GridTable5Dark-Accent6">
    <w:name w:val="Grid Table 5 Dark Accent 6"/>
    <w:basedOn w:val="TableNormal"/>
    <w:uiPriority w:val="50"/>
    <w:semiHidden/>
    <w:rsid w:val="007D1864"/>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D1E8"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C387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C387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C387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C3877" w:themeFill="accent6"/>
      </w:tcPr>
    </w:tblStylePr>
    <w:tblStylePr w:type="band1Vert">
      <w:tblPr/>
      <w:tcPr>
        <w:shd w:val="clear" w:color="auto" w:fill="D6A4D2" w:themeFill="accent6" w:themeFillTint="66"/>
      </w:tcPr>
    </w:tblStylePr>
    <w:tblStylePr w:type="band1Horz">
      <w:tblPr/>
      <w:tcPr>
        <w:shd w:val="clear" w:color="auto" w:fill="D6A4D2" w:themeFill="accent6" w:themeFillTint="66"/>
      </w:tcPr>
    </w:tblStylePr>
  </w:style>
  <w:style w:type="table" w:styleId="GridTable6Colorful">
    <w:name w:val="Grid Table 6 Colorful"/>
    <w:basedOn w:val="TableNormal"/>
    <w:uiPriority w:val="51"/>
    <w:semiHidden/>
    <w:rsid w:val="007D1864"/>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semiHidden/>
    <w:rsid w:val="007D1864"/>
    <w:pPr>
      <w:spacing w:after="0"/>
    </w:pPr>
    <w:rPr>
      <w:color w:val="015981" w:themeColor="accent1" w:themeShade="BF"/>
    </w:rPr>
    <w:tblPr>
      <w:tblStyleRowBandSize w:val="1"/>
      <w:tblStyleColBandSize w:val="1"/>
      <w:tblBorders>
        <w:top w:val="single" w:sz="4" w:space="0" w:color="38BFFC" w:themeColor="accent1" w:themeTint="99"/>
        <w:left w:val="single" w:sz="4" w:space="0" w:color="38BFFC" w:themeColor="accent1" w:themeTint="99"/>
        <w:bottom w:val="single" w:sz="4" w:space="0" w:color="38BFFC" w:themeColor="accent1" w:themeTint="99"/>
        <w:right w:val="single" w:sz="4" w:space="0" w:color="38BFFC" w:themeColor="accent1" w:themeTint="99"/>
        <w:insideH w:val="single" w:sz="4" w:space="0" w:color="38BFFC" w:themeColor="accent1" w:themeTint="99"/>
        <w:insideV w:val="single" w:sz="4" w:space="0" w:color="38BFFC" w:themeColor="accent1" w:themeTint="99"/>
      </w:tblBorders>
    </w:tblPr>
    <w:tblStylePr w:type="firstRow">
      <w:rPr>
        <w:b/>
        <w:bCs/>
      </w:rPr>
      <w:tblPr/>
      <w:tcPr>
        <w:tcBorders>
          <w:bottom w:val="single" w:sz="12" w:space="0" w:color="38BFFC" w:themeColor="accent1" w:themeTint="99"/>
        </w:tcBorders>
      </w:tcPr>
    </w:tblStylePr>
    <w:tblStylePr w:type="lastRow">
      <w:rPr>
        <w:b/>
        <w:bCs/>
      </w:rPr>
      <w:tblPr/>
      <w:tcPr>
        <w:tcBorders>
          <w:top w:val="double" w:sz="4" w:space="0" w:color="38BFFC" w:themeColor="accent1" w:themeTint="99"/>
        </w:tcBorders>
      </w:tcPr>
    </w:tblStylePr>
    <w:tblStylePr w:type="firstCol">
      <w:rPr>
        <w:b/>
        <w:bCs/>
      </w:rPr>
    </w:tblStylePr>
    <w:tblStylePr w:type="lastCol">
      <w:rPr>
        <w:b/>
        <w:bCs/>
      </w:rPr>
    </w:tblStylePr>
    <w:tblStylePr w:type="band1Vert">
      <w:tblPr/>
      <w:tcPr>
        <w:shd w:val="clear" w:color="auto" w:fill="BCE9FE" w:themeFill="accent1" w:themeFillTint="33"/>
      </w:tcPr>
    </w:tblStylePr>
    <w:tblStylePr w:type="band1Horz">
      <w:tblPr/>
      <w:tcPr>
        <w:shd w:val="clear" w:color="auto" w:fill="BCE9FE" w:themeFill="accent1" w:themeFillTint="33"/>
      </w:tcPr>
    </w:tblStylePr>
  </w:style>
  <w:style w:type="table" w:styleId="GridTable6Colorful-Accent2">
    <w:name w:val="Grid Table 6 Colorful Accent 2"/>
    <w:basedOn w:val="TableNormal"/>
    <w:uiPriority w:val="51"/>
    <w:semiHidden/>
    <w:rsid w:val="007D1864"/>
    <w:pPr>
      <w:spacing w:after="0"/>
    </w:pPr>
    <w:rPr>
      <w:color w:val="CA8E02" w:themeColor="accent2" w:themeShade="BF"/>
    </w:rPr>
    <w:tblPr>
      <w:tblStyleRowBandSize w:val="1"/>
      <w:tblStyleColBandSize w:val="1"/>
      <w:tblBorders>
        <w:top w:val="single" w:sz="4" w:space="0" w:color="FDD373" w:themeColor="accent2" w:themeTint="99"/>
        <w:left w:val="single" w:sz="4" w:space="0" w:color="FDD373" w:themeColor="accent2" w:themeTint="99"/>
        <w:bottom w:val="single" w:sz="4" w:space="0" w:color="FDD373" w:themeColor="accent2" w:themeTint="99"/>
        <w:right w:val="single" w:sz="4" w:space="0" w:color="FDD373" w:themeColor="accent2" w:themeTint="99"/>
        <w:insideH w:val="single" w:sz="4" w:space="0" w:color="FDD373" w:themeColor="accent2" w:themeTint="99"/>
        <w:insideV w:val="single" w:sz="4" w:space="0" w:color="FDD373" w:themeColor="accent2" w:themeTint="99"/>
      </w:tblBorders>
    </w:tblPr>
    <w:tblStylePr w:type="firstRow">
      <w:rPr>
        <w:b/>
        <w:bCs/>
      </w:rPr>
      <w:tblPr/>
      <w:tcPr>
        <w:tcBorders>
          <w:bottom w:val="single" w:sz="12" w:space="0" w:color="FDD373" w:themeColor="accent2" w:themeTint="99"/>
        </w:tcBorders>
      </w:tcPr>
    </w:tblStylePr>
    <w:tblStylePr w:type="lastRow">
      <w:rPr>
        <w:b/>
        <w:bCs/>
      </w:rPr>
      <w:tblPr/>
      <w:tcPr>
        <w:tcBorders>
          <w:top w:val="double" w:sz="4" w:space="0" w:color="FDD373" w:themeColor="accent2" w:themeTint="99"/>
        </w:tcBorders>
      </w:tcPr>
    </w:tblStylePr>
    <w:tblStylePr w:type="firstCol">
      <w:rPr>
        <w:b/>
        <w:bCs/>
      </w:rPr>
    </w:tblStylePr>
    <w:tblStylePr w:type="lastCol">
      <w:rPr>
        <w:b/>
        <w:bCs/>
      </w:rPr>
    </w:tblStylePr>
    <w:tblStylePr w:type="band1Vert">
      <w:tblPr/>
      <w:tcPr>
        <w:shd w:val="clear" w:color="auto" w:fill="FEF0D0" w:themeFill="accent2" w:themeFillTint="33"/>
      </w:tcPr>
    </w:tblStylePr>
    <w:tblStylePr w:type="band1Horz">
      <w:tblPr/>
      <w:tcPr>
        <w:shd w:val="clear" w:color="auto" w:fill="FEF0D0" w:themeFill="accent2" w:themeFillTint="33"/>
      </w:tcPr>
    </w:tblStylePr>
  </w:style>
  <w:style w:type="table" w:styleId="GridTable6Colorful-Accent3">
    <w:name w:val="Grid Table 6 Colorful Accent 3"/>
    <w:basedOn w:val="TableNormal"/>
    <w:uiPriority w:val="51"/>
    <w:semiHidden/>
    <w:rsid w:val="007D1864"/>
    <w:pPr>
      <w:spacing w:after="0"/>
    </w:pPr>
    <w:rPr>
      <w:color w:val="528633" w:themeColor="accent3" w:themeShade="BF"/>
    </w:rPr>
    <w:tblPr>
      <w:tblStyleRowBandSize w:val="1"/>
      <w:tblStyleColBandSize w:val="1"/>
      <w:tblBorders>
        <w:top w:val="single" w:sz="4" w:space="0" w:color="A7D38C" w:themeColor="accent3" w:themeTint="99"/>
        <w:left w:val="single" w:sz="4" w:space="0" w:color="A7D38C" w:themeColor="accent3" w:themeTint="99"/>
        <w:bottom w:val="single" w:sz="4" w:space="0" w:color="A7D38C" w:themeColor="accent3" w:themeTint="99"/>
        <w:right w:val="single" w:sz="4" w:space="0" w:color="A7D38C" w:themeColor="accent3" w:themeTint="99"/>
        <w:insideH w:val="single" w:sz="4" w:space="0" w:color="A7D38C" w:themeColor="accent3" w:themeTint="99"/>
        <w:insideV w:val="single" w:sz="4" w:space="0" w:color="A7D38C" w:themeColor="accent3" w:themeTint="99"/>
      </w:tblBorders>
    </w:tblPr>
    <w:tblStylePr w:type="firstRow">
      <w:rPr>
        <w:b/>
        <w:bCs/>
      </w:rPr>
      <w:tblPr/>
      <w:tcPr>
        <w:tcBorders>
          <w:bottom w:val="single" w:sz="12" w:space="0" w:color="A7D38C" w:themeColor="accent3" w:themeTint="99"/>
        </w:tcBorders>
      </w:tcPr>
    </w:tblStylePr>
    <w:tblStylePr w:type="lastRow">
      <w:rPr>
        <w:b/>
        <w:bCs/>
      </w:rPr>
      <w:tblPr/>
      <w:tcPr>
        <w:tcBorders>
          <w:top w:val="double" w:sz="4" w:space="0" w:color="A7D38C" w:themeColor="accent3" w:themeTint="99"/>
        </w:tcBorders>
      </w:tcPr>
    </w:tblStylePr>
    <w:tblStylePr w:type="firstCol">
      <w:rPr>
        <w:b/>
        <w:bCs/>
      </w:rPr>
    </w:tblStylePr>
    <w:tblStylePr w:type="lastCol">
      <w:rPr>
        <w:b/>
        <w:bCs/>
      </w:rPr>
    </w:tblStylePr>
    <w:tblStylePr w:type="band1Vert">
      <w:tblPr/>
      <w:tcPr>
        <w:shd w:val="clear" w:color="auto" w:fill="E1F0D8" w:themeFill="accent3" w:themeFillTint="33"/>
      </w:tcPr>
    </w:tblStylePr>
    <w:tblStylePr w:type="band1Horz">
      <w:tblPr/>
      <w:tcPr>
        <w:shd w:val="clear" w:color="auto" w:fill="E1F0D8" w:themeFill="accent3" w:themeFillTint="33"/>
      </w:tcPr>
    </w:tblStylePr>
  </w:style>
  <w:style w:type="table" w:styleId="GridTable6Colorful-Accent4">
    <w:name w:val="Grid Table 6 Colorful Accent 4"/>
    <w:basedOn w:val="TableNormal"/>
    <w:uiPriority w:val="51"/>
    <w:semiHidden/>
    <w:rsid w:val="007D1864"/>
    <w:pPr>
      <w:spacing w:after="0"/>
    </w:pPr>
    <w:rPr>
      <w:color w:val="BF5F00" w:themeColor="accent4" w:themeShade="BF"/>
    </w:rPr>
    <w:tblPr>
      <w:tblStyleRowBandSize w:val="1"/>
      <w:tblStyleColBandSize w:val="1"/>
      <w:tblBorders>
        <w:top w:val="single" w:sz="4" w:space="0" w:color="FFB266" w:themeColor="accent4" w:themeTint="99"/>
        <w:left w:val="single" w:sz="4" w:space="0" w:color="FFB266" w:themeColor="accent4" w:themeTint="99"/>
        <w:bottom w:val="single" w:sz="4" w:space="0" w:color="FFB266" w:themeColor="accent4" w:themeTint="99"/>
        <w:right w:val="single" w:sz="4" w:space="0" w:color="FFB266" w:themeColor="accent4" w:themeTint="99"/>
        <w:insideH w:val="single" w:sz="4" w:space="0" w:color="FFB266" w:themeColor="accent4" w:themeTint="99"/>
        <w:insideV w:val="single" w:sz="4" w:space="0" w:color="FFB266" w:themeColor="accent4" w:themeTint="99"/>
      </w:tblBorders>
    </w:tblPr>
    <w:tblStylePr w:type="firstRow">
      <w:rPr>
        <w:b/>
        <w:bCs/>
      </w:rPr>
      <w:tblPr/>
      <w:tcPr>
        <w:tcBorders>
          <w:bottom w:val="single" w:sz="12" w:space="0" w:color="FFB266" w:themeColor="accent4" w:themeTint="99"/>
        </w:tcBorders>
      </w:tcPr>
    </w:tblStylePr>
    <w:tblStylePr w:type="lastRow">
      <w:rPr>
        <w:b/>
        <w:bCs/>
      </w:rPr>
      <w:tblPr/>
      <w:tcPr>
        <w:tcBorders>
          <w:top w:val="double" w:sz="4" w:space="0" w:color="FFB266" w:themeColor="accent4" w:themeTint="99"/>
        </w:tcBorders>
      </w:tcPr>
    </w:tblStylePr>
    <w:tblStylePr w:type="firstCol">
      <w:rPr>
        <w:b/>
        <w:bCs/>
      </w:rPr>
    </w:tblStylePr>
    <w:tblStylePr w:type="lastCol">
      <w:rPr>
        <w:b/>
        <w:bCs/>
      </w:rPr>
    </w:tblStylePr>
    <w:tblStylePr w:type="band1Vert">
      <w:tblPr/>
      <w:tcPr>
        <w:shd w:val="clear" w:color="auto" w:fill="FFE5CC" w:themeFill="accent4" w:themeFillTint="33"/>
      </w:tcPr>
    </w:tblStylePr>
    <w:tblStylePr w:type="band1Horz">
      <w:tblPr/>
      <w:tcPr>
        <w:shd w:val="clear" w:color="auto" w:fill="FFE5CC" w:themeFill="accent4" w:themeFillTint="33"/>
      </w:tcPr>
    </w:tblStylePr>
  </w:style>
  <w:style w:type="table" w:styleId="GridTable6Colorful-Accent5">
    <w:name w:val="Grid Table 6 Colorful Accent 5"/>
    <w:basedOn w:val="TableNormal"/>
    <w:uiPriority w:val="51"/>
    <w:semiHidden/>
    <w:rsid w:val="007D1864"/>
    <w:pPr>
      <w:spacing w:after="0"/>
    </w:pPr>
    <w:rPr>
      <w:color w:val="98002E" w:themeColor="accent5" w:themeShade="BF"/>
    </w:rPr>
    <w:tblPr>
      <w:tblStyleRowBandSize w:val="1"/>
      <w:tblStyleColBandSize w:val="1"/>
      <w:tblBorders>
        <w:top w:val="single" w:sz="4" w:space="0" w:color="FF477F" w:themeColor="accent5" w:themeTint="99"/>
        <w:left w:val="single" w:sz="4" w:space="0" w:color="FF477F" w:themeColor="accent5" w:themeTint="99"/>
        <w:bottom w:val="single" w:sz="4" w:space="0" w:color="FF477F" w:themeColor="accent5" w:themeTint="99"/>
        <w:right w:val="single" w:sz="4" w:space="0" w:color="FF477F" w:themeColor="accent5" w:themeTint="99"/>
        <w:insideH w:val="single" w:sz="4" w:space="0" w:color="FF477F" w:themeColor="accent5" w:themeTint="99"/>
        <w:insideV w:val="single" w:sz="4" w:space="0" w:color="FF477F" w:themeColor="accent5" w:themeTint="99"/>
      </w:tblBorders>
    </w:tblPr>
    <w:tblStylePr w:type="firstRow">
      <w:rPr>
        <w:b/>
        <w:bCs/>
      </w:rPr>
      <w:tblPr/>
      <w:tcPr>
        <w:tcBorders>
          <w:bottom w:val="single" w:sz="12" w:space="0" w:color="FF477F" w:themeColor="accent5" w:themeTint="99"/>
        </w:tcBorders>
      </w:tcPr>
    </w:tblStylePr>
    <w:tblStylePr w:type="lastRow">
      <w:rPr>
        <w:b/>
        <w:bCs/>
      </w:rPr>
      <w:tblPr/>
      <w:tcPr>
        <w:tcBorders>
          <w:top w:val="double" w:sz="4" w:space="0" w:color="FF477F" w:themeColor="accent5" w:themeTint="99"/>
        </w:tcBorders>
      </w:tcPr>
    </w:tblStylePr>
    <w:tblStylePr w:type="firstCol">
      <w:rPr>
        <w:b/>
        <w:bCs/>
      </w:rPr>
    </w:tblStylePr>
    <w:tblStylePr w:type="lastCol">
      <w:rPr>
        <w:b/>
        <w:bCs/>
      </w:rPr>
    </w:tblStylePr>
    <w:tblStylePr w:type="band1Vert">
      <w:tblPr/>
      <w:tcPr>
        <w:shd w:val="clear" w:color="auto" w:fill="FFC1D4" w:themeFill="accent5" w:themeFillTint="33"/>
      </w:tcPr>
    </w:tblStylePr>
    <w:tblStylePr w:type="band1Horz">
      <w:tblPr/>
      <w:tcPr>
        <w:shd w:val="clear" w:color="auto" w:fill="FFC1D4" w:themeFill="accent5" w:themeFillTint="33"/>
      </w:tcPr>
    </w:tblStylePr>
  </w:style>
  <w:style w:type="table" w:styleId="GridTable6Colorful-Accent6">
    <w:name w:val="Grid Table 6 Colorful Accent 6"/>
    <w:basedOn w:val="TableNormal"/>
    <w:uiPriority w:val="51"/>
    <w:semiHidden/>
    <w:rsid w:val="007D1864"/>
    <w:pPr>
      <w:spacing w:after="0"/>
    </w:pPr>
    <w:rPr>
      <w:color w:val="5C2A58" w:themeColor="accent6" w:themeShade="BF"/>
    </w:rPr>
    <w:tblPr>
      <w:tblStyleRowBandSize w:val="1"/>
      <w:tblStyleColBandSize w:val="1"/>
      <w:tblBorders>
        <w:top w:val="single" w:sz="4" w:space="0" w:color="C176BB" w:themeColor="accent6" w:themeTint="99"/>
        <w:left w:val="single" w:sz="4" w:space="0" w:color="C176BB" w:themeColor="accent6" w:themeTint="99"/>
        <w:bottom w:val="single" w:sz="4" w:space="0" w:color="C176BB" w:themeColor="accent6" w:themeTint="99"/>
        <w:right w:val="single" w:sz="4" w:space="0" w:color="C176BB" w:themeColor="accent6" w:themeTint="99"/>
        <w:insideH w:val="single" w:sz="4" w:space="0" w:color="C176BB" w:themeColor="accent6" w:themeTint="99"/>
        <w:insideV w:val="single" w:sz="4" w:space="0" w:color="C176BB" w:themeColor="accent6" w:themeTint="99"/>
      </w:tblBorders>
    </w:tblPr>
    <w:tblStylePr w:type="firstRow">
      <w:rPr>
        <w:b/>
        <w:bCs/>
      </w:rPr>
      <w:tblPr/>
      <w:tcPr>
        <w:tcBorders>
          <w:bottom w:val="single" w:sz="12" w:space="0" w:color="C176BB" w:themeColor="accent6" w:themeTint="99"/>
        </w:tcBorders>
      </w:tcPr>
    </w:tblStylePr>
    <w:tblStylePr w:type="lastRow">
      <w:rPr>
        <w:b/>
        <w:bCs/>
      </w:rPr>
      <w:tblPr/>
      <w:tcPr>
        <w:tcBorders>
          <w:top w:val="double" w:sz="4" w:space="0" w:color="C176BB" w:themeColor="accent6" w:themeTint="99"/>
        </w:tcBorders>
      </w:tcPr>
    </w:tblStylePr>
    <w:tblStylePr w:type="firstCol">
      <w:rPr>
        <w:b/>
        <w:bCs/>
      </w:rPr>
    </w:tblStylePr>
    <w:tblStylePr w:type="lastCol">
      <w:rPr>
        <w:b/>
        <w:bCs/>
      </w:rPr>
    </w:tblStylePr>
    <w:tblStylePr w:type="band1Vert">
      <w:tblPr/>
      <w:tcPr>
        <w:shd w:val="clear" w:color="auto" w:fill="EAD1E8" w:themeFill="accent6" w:themeFillTint="33"/>
      </w:tcPr>
    </w:tblStylePr>
    <w:tblStylePr w:type="band1Horz">
      <w:tblPr/>
      <w:tcPr>
        <w:shd w:val="clear" w:color="auto" w:fill="EAD1E8" w:themeFill="accent6" w:themeFillTint="33"/>
      </w:tcPr>
    </w:tblStylePr>
  </w:style>
  <w:style w:type="table" w:styleId="GridTable7Colorful">
    <w:name w:val="Grid Table 7 Colorful"/>
    <w:basedOn w:val="TableNormal"/>
    <w:uiPriority w:val="52"/>
    <w:semiHidden/>
    <w:rsid w:val="007D1864"/>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semiHidden/>
    <w:rsid w:val="007D1864"/>
    <w:pPr>
      <w:spacing w:after="0"/>
    </w:pPr>
    <w:rPr>
      <w:color w:val="015981" w:themeColor="accent1" w:themeShade="BF"/>
    </w:rPr>
    <w:tblPr>
      <w:tblStyleRowBandSize w:val="1"/>
      <w:tblStyleColBandSize w:val="1"/>
      <w:tblBorders>
        <w:top w:val="single" w:sz="4" w:space="0" w:color="38BFFC" w:themeColor="accent1" w:themeTint="99"/>
        <w:left w:val="single" w:sz="4" w:space="0" w:color="38BFFC" w:themeColor="accent1" w:themeTint="99"/>
        <w:bottom w:val="single" w:sz="4" w:space="0" w:color="38BFFC" w:themeColor="accent1" w:themeTint="99"/>
        <w:right w:val="single" w:sz="4" w:space="0" w:color="38BFFC" w:themeColor="accent1" w:themeTint="99"/>
        <w:insideH w:val="single" w:sz="4" w:space="0" w:color="38BFFC" w:themeColor="accent1" w:themeTint="99"/>
        <w:insideV w:val="single" w:sz="4" w:space="0" w:color="38BFFC"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E9FE" w:themeFill="accent1" w:themeFillTint="33"/>
      </w:tcPr>
    </w:tblStylePr>
    <w:tblStylePr w:type="band1Horz">
      <w:tblPr/>
      <w:tcPr>
        <w:shd w:val="clear" w:color="auto" w:fill="BCE9FE" w:themeFill="accent1" w:themeFillTint="33"/>
      </w:tcPr>
    </w:tblStylePr>
    <w:tblStylePr w:type="neCell">
      <w:tblPr/>
      <w:tcPr>
        <w:tcBorders>
          <w:bottom w:val="single" w:sz="4" w:space="0" w:color="38BFFC" w:themeColor="accent1" w:themeTint="99"/>
        </w:tcBorders>
      </w:tcPr>
    </w:tblStylePr>
    <w:tblStylePr w:type="nwCell">
      <w:tblPr/>
      <w:tcPr>
        <w:tcBorders>
          <w:bottom w:val="single" w:sz="4" w:space="0" w:color="38BFFC" w:themeColor="accent1" w:themeTint="99"/>
        </w:tcBorders>
      </w:tcPr>
    </w:tblStylePr>
    <w:tblStylePr w:type="seCell">
      <w:tblPr/>
      <w:tcPr>
        <w:tcBorders>
          <w:top w:val="single" w:sz="4" w:space="0" w:color="38BFFC" w:themeColor="accent1" w:themeTint="99"/>
        </w:tcBorders>
      </w:tcPr>
    </w:tblStylePr>
    <w:tblStylePr w:type="swCell">
      <w:tblPr/>
      <w:tcPr>
        <w:tcBorders>
          <w:top w:val="single" w:sz="4" w:space="0" w:color="38BFFC" w:themeColor="accent1" w:themeTint="99"/>
        </w:tcBorders>
      </w:tcPr>
    </w:tblStylePr>
  </w:style>
  <w:style w:type="table" w:styleId="GridTable7Colorful-Accent2">
    <w:name w:val="Grid Table 7 Colorful Accent 2"/>
    <w:basedOn w:val="TableNormal"/>
    <w:uiPriority w:val="52"/>
    <w:semiHidden/>
    <w:rsid w:val="007D1864"/>
    <w:pPr>
      <w:spacing w:after="0"/>
    </w:pPr>
    <w:rPr>
      <w:color w:val="CA8E02" w:themeColor="accent2" w:themeShade="BF"/>
    </w:rPr>
    <w:tblPr>
      <w:tblStyleRowBandSize w:val="1"/>
      <w:tblStyleColBandSize w:val="1"/>
      <w:tblBorders>
        <w:top w:val="single" w:sz="4" w:space="0" w:color="FDD373" w:themeColor="accent2" w:themeTint="99"/>
        <w:left w:val="single" w:sz="4" w:space="0" w:color="FDD373" w:themeColor="accent2" w:themeTint="99"/>
        <w:bottom w:val="single" w:sz="4" w:space="0" w:color="FDD373" w:themeColor="accent2" w:themeTint="99"/>
        <w:right w:val="single" w:sz="4" w:space="0" w:color="FDD373" w:themeColor="accent2" w:themeTint="99"/>
        <w:insideH w:val="single" w:sz="4" w:space="0" w:color="FDD373" w:themeColor="accent2" w:themeTint="99"/>
        <w:insideV w:val="single" w:sz="4" w:space="0" w:color="FDD37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F0D0" w:themeFill="accent2" w:themeFillTint="33"/>
      </w:tcPr>
    </w:tblStylePr>
    <w:tblStylePr w:type="band1Horz">
      <w:tblPr/>
      <w:tcPr>
        <w:shd w:val="clear" w:color="auto" w:fill="FEF0D0" w:themeFill="accent2" w:themeFillTint="33"/>
      </w:tcPr>
    </w:tblStylePr>
    <w:tblStylePr w:type="neCell">
      <w:tblPr/>
      <w:tcPr>
        <w:tcBorders>
          <w:bottom w:val="single" w:sz="4" w:space="0" w:color="FDD373" w:themeColor="accent2" w:themeTint="99"/>
        </w:tcBorders>
      </w:tcPr>
    </w:tblStylePr>
    <w:tblStylePr w:type="nwCell">
      <w:tblPr/>
      <w:tcPr>
        <w:tcBorders>
          <w:bottom w:val="single" w:sz="4" w:space="0" w:color="FDD373" w:themeColor="accent2" w:themeTint="99"/>
        </w:tcBorders>
      </w:tcPr>
    </w:tblStylePr>
    <w:tblStylePr w:type="seCell">
      <w:tblPr/>
      <w:tcPr>
        <w:tcBorders>
          <w:top w:val="single" w:sz="4" w:space="0" w:color="FDD373" w:themeColor="accent2" w:themeTint="99"/>
        </w:tcBorders>
      </w:tcPr>
    </w:tblStylePr>
    <w:tblStylePr w:type="swCell">
      <w:tblPr/>
      <w:tcPr>
        <w:tcBorders>
          <w:top w:val="single" w:sz="4" w:space="0" w:color="FDD373" w:themeColor="accent2" w:themeTint="99"/>
        </w:tcBorders>
      </w:tcPr>
    </w:tblStylePr>
  </w:style>
  <w:style w:type="table" w:styleId="GridTable7Colorful-Accent3">
    <w:name w:val="Grid Table 7 Colorful Accent 3"/>
    <w:basedOn w:val="TableNormal"/>
    <w:uiPriority w:val="52"/>
    <w:semiHidden/>
    <w:rsid w:val="007D1864"/>
    <w:pPr>
      <w:spacing w:after="0"/>
    </w:pPr>
    <w:rPr>
      <w:color w:val="528633" w:themeColor="accent3" w:themeShade="BF"/>
    </w:rPr>
    <w:tblPr>
      <w:tblStyleRowBandSize w:val="1"/>
      <w:tblStyleColBandSize w:val="1"/>
      <w:tblBorders>
        <w:top w:val="single" w:sz="4" w:space="0" w:color="A7D38C" w:themeColor="accent3" w:themeTint="99"/>
        <w:left w:val="single" w:sz="4" w:space="0" w:color="A7D38C" w:themeColor="accent3" w:themeTint="99"/>
        <w:bottom w:val="single" w:sz="4" w:space="0" w:color="A7D38C" w:themeColor="accent3" w:themeTint="99"/>
        <w:right w:val="single" w:sz="4" w:space="0" w:color="A7D38C" w:themeColor="accent3" w:themeTint="99"/>
        <w:insideH w:val="single" w:sz="4" w:space="0" w:color="A7D38C" w:themeColor="accent3" w:themeTint="99"/>
        <w:insideV w:val="single" w:sz="4" w:space="0" w:color="A7D38C"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F0D8" w:themeFill="accent3" w:themeFillTint="33"/>
      </w:tcPr>
    </w:tblStylePr>
    <w:tblStylePr w:type="band1Horz">
      <w:tblPr/>
      <w:tcPr>
        <w:shd w:val="clear" w:color="auto" w:fill="E1F0D8" w:themeFill="accent3" w:themeFillTint="33"/>
      </w:tcPr>
    </w:tblStylePr>
    <w:tblStylePr w:type="neCell">
      <w:tblPr/>
      <w:tcPr>
        <w:tcBorders>
          <w:bottom w:val="single" w:sz="4" w:space="0" w:color="A7D38C" w:themeColor="accent3" w:themeTint="99"/>
        </w:tcBorders>
      </w:tcPr>
    </w:tblStylePr>
    <w:tblStylePr w:type="nwCell">
      <w:tblPr/>
      <w:tcPr>
        <w:tcBorders>
          <w:bottom w:val="single" w:sz="4" w:space="0" w:color="A7D38C" w:themeColor="accent3" w:themeTint="99"/>
        </w:tcBorders>
      </w:tcPr>
    </w:tblStylePr>
    <w:tblStylePr w:type="seCell">
      <w:tblPr/>
      <w:tcPr>
        <w:tcBorders>
          <w:top w:val="single" w:sz="4" w:space="0" w:color="A7D38C" w:themeColor="accent3" w:themeTint="99"/>
        </w:tcBorders>
      </w:tcPr>
    </w:tblStylePr>
    <w:tblStylePr w:type="swCell">
      <w:tblPr/>
      <w:tcPr>
        <w:tcBorders>
          <w:top w:val="single" w:sz="4" w:space="0" w:color="A7D38C" w:themeColor="accent3" w:themeTint="99"/>
        </w:tcBorders>
      </w:tcPr>
    </w:tblStylePr>
  </w:style>
  <w:style w:type="table" w:styleId="GridTable7Colorful-Accent4">
    <w:name w:val="Grid Table 7 Colorful Accent 4"/>
    <w:basedOn w:val="TableNormal"/>
    <w:uiPriority w:val="52"/>
    <w:semiHidden/>
    <w:rsid w:val="007D1864"/>
    <w:pPr>
      <w:spacing w:after="0"/>
    </w:pPr>
    <w:rPr>
      <w:color w:val="BF5F00" w:themeColor="accent4" w:themeShade="BF"/>
    </w:rPr>
    <w:tblPr>
      <w:tblStyleRowBandSize w:val="1"/>
      <w:tblStyleColBandSize w:val="1"/>
      <w:tblBorders>
        <w:top w:val="single" w:sz="4" w:space="0" w:color="FFB266" w:themeColor="accent4" w:themeTint="99"/>
        <w:left w:val="single" w:sz="4" w:space="0" w:color="FFB266" w:themeColor="accent4" w:themeTint="99"/>
        <w:bottom w:val="single" w:sz="4" w:space="0" w:color="FFB266" w:themeColor="accent4" w:themeTint="99"/>
        <w:right w:val="single" w:sz="4" w:space="0" w:color="FFB266" w:themeColor="accent4" w:themeTint="99"/>
        <w:insideH w:val="single" w:sz="4" w:space="0" w:color="FFB266" w:themeColor="accent4" w:themeTint="99"/>
        <w:insideV w:val="single" w:sz="4" w:space="0" w:color="FFB2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5CC" w:themeFill="accent4" w:themeFillTint="33"/>
      </w:tcPr>
    </w:tblStylePr>
    <w:tblStylePr w:type="band1Horz">
      <w:tblPr/>
      <w:tcPr>
        <w:shd w:val="clear" w:color="auto" w:fill="FFE5CC" w:themeFill="accent4" w:themeFillTint="33"/>
      </w:tcPr>
    </w:tblStylePr>
    <w:tblStylePr w:type="neCell">
      <w:tblPr/>
      <w:tcPr>
        <w:tcBorders>
          <w:bottom w:val="single" w:sz="4" w:space="0" w:color="FFB266" w:themeColor="accent4" w:themeTint="99"/>
        </w:tcBorders>
      </w:tcPr>
    </w:tblStylePr>
    <w:tblStylePr w:type="nwCell">
      <w:tblPr/>
      <w:tcPr>
        <w:tcBorders>
          <w:bottom w:val="single" w:sz="4" w:space="0" w:color="FFB266" w:themeColor="accent4" w:themeTint="99"/>
        </w:tcBorders>
      </w:tcPr>
    </w:tblStylePr>
    <w:tblStylePr w:type="seCell">
      <w:tblPr/>
      <w:tcPr>
        <w:tcBorders>
          <w:top w:val="single" w:sz="4" w:space="0" w:color="FFB266" w:themeColor="accent4" w:themeTint="99"/>
        </w:tcBorders>
      </w:tcPr>
    </w:tblStylePr>
    <w:tblStylePr w:type="swCell">
      <w:tblPr/>
      <w:tcPr>
        <w:tcBorders>
          <w:top w:val="single" w:sz="4" w:space="0" w:color="FFB266" w:themeColor="accent4" w:themeTint="99"/>
        </w:tcBorders>
      </w:tcPr>
    </w:tblStylePr>
  </w:style>
  <w:style w:type="table" w:styleId="GridTable7Colorful-Accent5">
    <w:name w:val="Grid Table 7 Colorful Accent 5"/>
    <w:basedOn w:val="TableNormal"/>
    <w:uiPriority w:val="52"/>
    <w:semiHidden/>
    <w:rsid w:val="007D1864"/>
    <w:pPr>
      <w:spacing w:after="0"/>
    </w:pPr>
    <w:rPr>
      <w:color w:val="98002E" w:themeColor="accent5" w:themeShade="BF"/>
    </w:rPr>
    <w:tblPr>
      <w:tblStyleRowBandSize w:val="1"/>
      <w:tblStyleColBandSize w:val="1"/>
      <w:tblBorders>
        <w:top w:val="single" w:sz="4" w:space="0" w:color="FF477F" w:themeColor="accent5" w:themeTint="99"/>
        <w:left w:val="single" w:sz="4" w:space="0" w:color="FF477F" w:themeColor="accent5" w:themeTint="99"/>
        <w:bottom w:val="single" w:sz="4" w:space="0" w:color="FF477F" w:themeColor="accent5" w:themeTint="99"/>
        <w:right w:val="single" w:sz="4" w:space="0" w:color="FF477F" w:themeColor="accent5" w:themeTint="99"/>
        <w:insideH w:val="single" w:sz="4" w:space="0" w:color="FF477F" w:themeColor="accent5" w:themeTint="99"/>
        <w:insideV w:val="single" w:sz="4" w:space="0" w:color="FF477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1D4" w:themeFill="accent5" w:themeFillTint="33"/>
      </w:tcPr>
    </w:tblStylePr>
    <w:tblStylePr w:type="band1Horz">
      <w:tblPr/>
      <w:tcPr>
        <w:shd w:val="clear" w:color="auto" w:fill="FFC1D4" w:themeFill="accent5" w:themeFillTint="33"/>
      </w:tcPr>
    </w:tblStylePr>
    <w:tblStylePr w:type="neCell">
      <w:tblPr/>
      <w:tcPr>
        <w:tcBorders>
          <w:bottom w:val="single" w:sz="4" w:space="0" w:color="FF477F" w:themeColor="accent5" w:themeTint="99"/>
        </w:tcBorders>
      </w:tcPr>
    </w:tblStylePr>
    <w:tblStylePr w:type="nwCell">
      <w:tblPr/>
      <w:tcPr>
        <w:tcBorders>
          <w:bottom w:val="single" w:sz="4" w:space="0" w:color="FF477F" w:themeColor="accent5" w:themeTint="99"/>
        </w:tcBorders>
      </w:tcPr>
    </w:tblStylePr>
    <w:tblStylePr w:type="seCell">
      <w:tblPr/>
      <w:tcPr>
        <w:tcBorders>
          <w:top w:val="single" w:sz="4" w:space="0" w:color="FF477F" w:themeColor="accent5" w:themeTint="99"/>
        </w:tcBorders>
      </w:tcPr>
    </w:tblStylePr>
    <w:tblStylePr w:type="swCell">
      <w:tblPr/>
      <w:tcPr>
        <w:tcBorders>
          <w:top w:val="single" w:sz="4" w:space="0" w:color="FF477F" w:themeColor="accent5" w:themeTint="99"/>
        </w:tcBorders>
      </w:tcPr>
    </w:tblStylePr>
  </w:style>
  <w:style w:type="table" w:styleId="GridTable7Colorful-Accent6">
    <w:name w:val="Grid Table 7 Colorful Accent 6"/>
    <w:basedOn w:val="TableNormal"/>
    <w:uiPriority w:val="52"/>
    <w:semiHidden/>
    <w:rsid w:val="007D1864"/>
    <w:pPr>
      <w:spacing w:after="0"/>
    </w:pPr>
    <w:rPr>
      <w:color w:val="5C2A58" w:themeColor="accent6" w:themeShade="BF"/>
    </w:rPr>
    <w:tblPr>
      <w:tblStyleRowBandSize w:val="1"/>
      <w:tblStyleColBandSize w:val="1"/>
      <w:tblBorders>
        <w:top w:val="single" w:sz="4" w:space="0" w:color="C176BB" w:themeColor="accent6" w:themeTint="99"/>
        <w:left w:val="single" w:sz="4" w:space="0" w:color="C176BB" w:themeColor="accent6" w:themeTint="99"/>
        <w:bottom w:val="single" w:sz="4" w:space="0" w:color="C176BB" w:themeColor="accent6" w:themeTint="99"/>
        <w:right w:val="single" w:sz="4" w:space="0" w:color="C176BB" w:themeColor="accent6" w:themeTint="99"/>
        <w:insideH w:val="single" w:sz="4" w:space="0" w:color="C176BB" w:themeColor="accent6" w:themeTint="99"/>
        <w:insideV w:val="single" w:sz="4" w:space="0" w:color="C176B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1E8" w:themeFill="accent6" w:themeFillTint="33"/>
      </w:tcPr>
    </w:tblStylePr>
    <w:tblStylePr w:type="band1Horz">
      <w:tblPr/>
      <w:tcPr>
        <w:shd w:val="clear" w:color="auto" w:fill="EAD1E8" w:themeFill="accent6" w:themeFillTint="33"/>
      </w:tcPr>
    </w:tblStylePr>
    <w:tblStylePr w:type="neCell">
      <w:tblPr/>
      <w:tcPr>
        <w:tcBorders>
          <w:bottom w:val="single" w:sz="4" w:space="0" w:color="C176BB" w:themeColor="accent6" w:themeTint="99"/>
        </w:tcBorders>
      </w:tcPr>
    </w:tblStylePr>
    <w:tblStylePr w:type="nwCell">
      <w:tblPr/>
      <w:tcPr>
        <w:tcBorders>
          <w:bottom w:val="single" w:sz="4" w:space="0" w:color="C176BB" w:themeColor="accent6" w:themeTint="99"/>
        </w:tcBorders>
      </w:tcPr>
    </w:tblStylePr>
    <w:tblStylePr w:type="seCell">
      <w:tblPr/>
      <w:tcPr>
        <w:tcBorders>
          <w:top w:val="single" w:sz="4" w:space="0" w:color="C176BB" w:themeColor="accent6" w:themeTint="99"/>
        </w:tcBorders>
      </w:tcPr>
    </w:tblStylePr>
    <w:tblStylePr w:type="swCell">
      <w:tblPr/>
      <w:tcPr>
        <w:tcBorders>
          <w:top w:val="single" w:sz="4" w:space="0" w:color="C176BB" w:themeColor="accent6" w:themeTint="99"/>
        </w:tcBorders>
      </w:tcPr>
    </w:tblStylePr>
  </w:style>
  <w:style w:type="table" w:styleId="LightGrid">
    <w:name w:val="Light Grid"/>
    <w:basedOn w:val="TableNormal"/>
    <w:uiPriority w:val="62"/>
    <w:semiHidden/>
    <w:unhideWhenUsed/>
    <w:rsid w:val="007D1864"/>
    <w:pPr>
      <w:spacing w:before="0"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7D1864"/>
    <w:pPr>
      <w:spacing w:before="0" w:after="0"/>
    </w:pPr>
    <w:tblPr>
      <w:tblStyleRowBandSize w:val="1"/>
      <w:tblStyleColBandSize w:val="1"/>
      <w:tblBorders>
        <w:top w:val="single" w:sz="8" w:space="0" w:color="0278AD" w:themeColor="accent1"/>
        <w:left w:val="single" w:sz="8" w:space="0" w:color="0278AD" w:themeColor="accent1"/>
        <w:bottom w:val="single" w:sz="8" w:space="0" w:color="0278AD" w:themeColor="accent1"/>
        <w:right w:val="single" w:sz="8" w:space="0" w:color="0278AD" w:themeColor="accent1"/>
        <w:insideH w:val="single" w:sz="8" w:space="0" w:color="0278AD" w:themeColor="accent1"/>
        <w:insideV w:val="single" w:sz="8" w:space="0" w:color="0278A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278AD" w:themeColor="accent1"/>
          <w:left w:val="single" w:sz="8" w:space="0" w:color="0278AD" w:themeColor="accent1"/>
          <w:bottom w:val="single" w:sz="18" w:space="0" w:color="0278AD" w:themeColor="accent1"/>
          <w:right w:val="single" w:sz="8" w:space="0" w:color="0278AD" w:themeColor="accent1"/>
          <w:insideH w:val="nil"/>
          <w:insideV w:val="single" w:sz="8" w:space="0" w:color="0278A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278AD" w:themeColor="accent1"/>
          <w:left w:val="single" w:sz="8" w:space="0" w:color="0278AD" w:themeColor="accent1"/>
          <w:bottom w:val="single" w:sz="8" w:space="0" w:color="0278AD" w:themeColor="accent1"/>
          <w:right w:val="single" w:sz="8" w:space="0" w:color="0278AD" w:themeColor="accent1"/>
          <w:insideH w:val="nil"/>
          <w:insideV w:val="single" w:sz="8" w:space="0" w:color="0278A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278AD" w:themeColor="accent1"/>
          <w:left w:val="single" w:sz="8" w:space="0" w:color="0278AD" w:themeColor="accent1"/>
          <w:bottom w:val="single" w:sz="8" w:space="0" w:color="0278AD" w:themeColor="accent1"/>
          <w:right w:val="single" w:sz="8" w:space="0" w:color="0278AD" w:themeColor="accent1"/>
        </w:tcBorders>
      </w:tcPr>
    </w:tblStylePr>
    <w:tblStylePr w:type="band1Vert">
      <w:tblPr/>
      <w:tcPr>
        <w:tcBorders>
          <w:top w:val="single" w:sz="8" w:space="0" w:color="0278AD" w:themeColor="accent1"/>
          <w:left w:val="single" w:sz="8" w:space="0" w:color="0278AD" w:themeColor="accent1"/>
          <w:bottom w:val="single" w:sz="8" w:space="0" w:color="0278AD" w:themeColor="accent1"/>
          <w:right w:val="single" w:sz="8" w:space="0" w:color="0278AD" w:themeColor="accent1"/>
        </w:tcBorders>
        <w:shd w:val="clear" w:color="auto" w:fill="ACE4FE" w:themeFill="accent1" w:themeFillTint="3F"/>
      </w:tcPr>
    </w:tblStylePr>
    <w:tblStylePr w:type="band1Horz">
      <w:tblPr/>
      <w:tcPr>
        <w:tcBorders>
          <w:top w:val="single" w:sz="8" w:space="0" w:color="0278AD" w:themeColor="accent1"/>
          <w:left w:val="single" w:sz="8" w:space="0" w:color="0278AD" w:themeColor="accent1"/>
          <w:bottom w:val="single" w:sz="8" w:space="0" w:color="0278AD" w:themeColor="accent1"/>
          <w:right w:val="single" w:sz="8" w:space="0" w:color="0278AD" w:themeColor="accent1"/>
          <w:insideV w:val="single" w:sz="8" w:space="0" w:color="0278AD" w:themeColor="accent1"/>
        </w:tcBorders>
        <w:shd w:val="clear" w:color="auto" w:fill="ACE4FE" w:themeFill="accent1" w:themeFillTint="3F"/>
      </w:tcPr>
    </w:tblStylePr>
    <w:tblStylePr w:type="band2Horz">
      <w:tblPr/>
      <w:tcPr>
        <w:tcBorders>
          <w:top w:val="single" w:sz="8" w:space="0" w:color="0278AD" w:themeColor="accent1"/>
          <w:left w:val="single" w:sz="8" w:space="0" w:color="0278AD" w:themeColor="accent1"/>
          <w:bottom w:val="single" w:sz="8" w:space="0" w:color="0278AD" w:themeColor="accent1"/>
          <w:right w:val="single" w:sz="8" w:space="0" w:color="0278AD" w:themeColor="accent1"/>
          <w:insideV w:val="single" w:sz="8" w:space="0" w:color="0278AD" w:themeColor="accent1"/>
        </w:tcBorders>
      </w:tcPr>
    </w:tblStylePr>
  </w:style>
  <w:style w:type="table" w:styleId="LightGrid-Accent2">
    <w:name w:val="Light Grid Accent 2"/>
    <w:basedOn w:val="TableNormal"/>
    <w:uiPriority w:val="62"/>
    <w:semiHidden/>
    <w:unhideWhenUsed/>
    <w:rsid w:val="007D1864"/>
    <w:pPr>
      <w:spacing w:before="0" w:after="0"/>
    </w:pPr>
    <w:tblPr>
      <w:tblStyleRowBandSize w:val="1"/>
      <w:tblStyleColBandSize w:val="1"/>
      <w:tblBorders>
        <w:top w:val="single" w:sz="8" w:space="0" w:color="FCB717" w:themeColor="accent2"/>
        <w:left w:val="single" w:sz="8" w:space="0" w:color="FCB717" w:themeColor="accent2"/>
        <w:bottom w:val="single" w:sz="8" w:space="0" w:color="FCB717" w:themeColor="accent2"/>
        <w:right w:val="single" w:sz="8" w:space="0" w:color="FCB717" w:themeColor="accent2"/>
        <w:insideH w:val="single" w:sz="8" w:space="0" w:color="FCB717" w:themeColor="accent2"/>
        <w:insideV w:val="single" w:sz="8" w:space="0" w:color="FCB71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CB717" w:themeColor="accent2"/>
          <w:left w:val="single" w:sz="8" w:space="0" w:color="FCB717" w:themeColor="accent2"/>
          <w:bottom w:val="single" w:sz="18" w:space="0" w:color="FCB717" w:themeColor="accent2"/>
          <w:right w:val="single" w:sz="8" w:space="0" w:color="FCB717" w:themeColor="accent2"/>
          <w:insideH w:val="nil"/>
          <w:insideV w:val="single" w:sz="8" w:space="0" w:color="FCB71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CB717" w:themeColor="accent2"/>
          <w:left w:val="single" w:sz="8" w:space="0" w:color="FCB717" w:themeColor="accent2"/>
          <w:bottom w:val="single" w:sz="8" w:space="0" w:color="FCB717" w:themeColor="accent2"/>
          <w:right w:val="single" w:sz="8" w:space="0" w:color="FCB717" w:themeColor="accent2"/>
          <w:insideH w:val="nil"/>
          <w:insideV w:val="single" w:sz="8" w:space="0" w:color="FCB71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CB717" w:themeColor="accent2"/>
          <w:left w:val="single" w:sz="8" w:space="0" w:color="FCB717" w:themeColor="accent2"/>
          <w:bottom w:val="single" w:sz="8" w:space="0" w:color="FCB717" w:themeColor="accent2"/>
          <w:right w:val="single" w:sz="8" w:space="0" w:color="FCB717" w:themeColor="accent2"/>
        </w:tcBorders>
      </w:tcPr>
    </w:tblStylePr>
    <w:tblStylePr w:type="band1Vert">
      <w:tblPr/>
      <w:tcPr>
        <w:tcBorders>
          <w:top w:val="single" w:sz="8" w:space="0" w:color="FCB717" w:themeColor="accent2"/>
          <w:left w:val="single" w:sz="8" w:space="0" w:color="FCB717" w:themeColor="accent2"/>
          <w:bottom w:val="single" w:sz="8" w:space="0" w:color="FCB717" w:themeColor="accent2"/>
          <w:right w:val="single" w:sz="8" w:space="0" w:color="FCB717" w:themeColor="accent2"/>
        </w:tcBorders>
        <w:shd w:val="clear" w:color="auto" w:fill="FEEDC5" w:themeFill="accent2" w:themeFillTint="3F"/>
      </w:tcPr>
    </w:tblStylePr>
    <w:tblStylePr w:type="band1Horz">
      <w:tblPr/>
      <w:tcPr>
        <w:tcBorders>
          <w:top w:val="single" w:sz="8" w:space="0" w:color="FCB717" w:themeColor="accent2"/>
          <w:left w:val="single" w:sz="8" w:space="0" w:color="FCB717" w:themeColor="accent2"/>
          <w:bottom w:val="single" w:sz="8" w:space="0" w:color="FCB717" w:themeColor="accent2"/>
          <w:right w:val="single" w:sz="8" w:space="0" w:color="FCB717" w:themeColor="accent2"/>
          <w:insideV w:val="single" w:sz="8" w:space="0" w:color="FCB717" w:themeColor="accent2"/>
        </w:tcBorders>
        <w:shd w:val="clear" w:color="auto" w:fill="FEEDC5" w:themeFill="accent2" w:themeFillTint="3F"/>
      </w:tcPr>
    </w:tblStylePr>
    <w:tblStylePr w:type="band2Horz">
      <w:tblPr/>
      <w:tcPr>
        <w:tcBorders>
          <w:top w:val="single" w:sz="8" w:space="0" w:color="FCB717" w:themeColor="accent2"/>
          <w:left w:val="single" w:sz="8" w:space="0" w:color="FCB717" w:themeColor="accent2"/>
          <w:bottom w:val="single" w:sz="8" w:space="0" w:color="FCB717" w:themeColor="accent2"/>
          <w:right w:val="single" w:sz="8" w:space="0" w:color="FCB717" w:themeColor="accent2"/>
          <w:insideV w:val="single" w:sz="8" w:space="0" w:color="FCB717" w:themeColor="accent2"/>
        </w:tcBorders>
      </w:tcPr>
    </w:tblStylePr>
  </w:style>
  <w:style w:type="table" w:styleId="LightGrid-Accent3">
    <w:name w:val="Light Grid Accent 3"/>
    <w:basedOn w:val="TableNormal"/>
    <w:uiPriority w:val="62"/>
    <w:semiHidden/>
    <w:unhideWhenUsed/>
    <w:rsid w:val="007D1864"/>
    <w:pPr>
      <w:spacing w:before="0" w:after="0"/>
    </w:pPr>
    <w:tblPr>
      <w:tblStyleRowBandSize w:val="1"/>
      <w:tblStyleColBandSize w:val="1"/>
      <w:tblBorders>
        <w:top w:val="single" w:sz="8" w:space="0" w:color="6EB444" w:themeColor="accent3"/>
        <w:left w:val="single" w:sz="8" w:space="0" w:color="6EB444" w:themeColor="accent3"/>
        <w:bottom w:val="single" w:sz="8" w:space="0" w:color="6EB444" w:themeColor="accent3"/>
        <w:right w:val="single" w:sz="8" w:space="0" w:color="6EB444" w:themeColor="accent3"/>
        <w:insideH w:val="single" w:sz="8" w:space="0" w:color="6EB444" w:themeColor="accent3"/>
        <w:insideV w:val="single" w:sz="8" w:space="0" w:color="6EB44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EB444" w:themeColor="accent3"/>
          <w:left w:val="single" w:sz="8" w:space="0" w:color="6EB444" w:themeColor="accent3"/>
          <w:bottom w:val="single" w:sz="18" w:space="0" w:color="6EB444" w:themeColor="accent3"/>
          <w:right w:val="single" w:sz="8" w:space="0" w:color="6EB444" w:themeColor="accent3"/>
          <w:insideH w:val="nil"/>
          <w:insideV w:val="single" w:sz="8" w:space="0" w:color="6EB44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EB444" w:themeColor="accent3"/>
          <w:left w:val="single" w:sz="8" w:space="0" w:color="6EB444" w:themeColor="accent3"/>
          <w:bottom w:val="single" w:sz="8" w:space="0" w:color="6EB444" w:themeColor="accent3"/>
          <w:right w:val="single" w:sz="8" w:space="0" w:color="6EB444" w:themeColor="accent3"/>
          <w:insideH w:val="nil"/>
          <w:insideV w:val="single" w:sz="8" w:space="0" w:color="6EB44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EB444" w:themeColor="accent3"/>
          <w:left w:val="single" w:sz="8" w:space="0" w:color="6EB444" w:themeColor="accent3"/>
          <w:bottom w:val="single" w:sz="8" w:space="0" w:color="6EB444" w:themeColor="accent3"/>
          <w:right w:val="single" w:sz="8" w:space="0" w:color="6EB444" w:themeColor="accent3"/>
        </w:tcBorders>
      </w:tcPr>
    </w:tblStylePr>
    <w:tblStylePr w:type="band1Vert">
      <w:tblPr/>
      <w:tcPr>
        <w:tcBorders>
          <w:top w:val="single" w:sz="8" w:space="0" w:color="6EB444" w:themeColor="accent3"/>
          <w:left w:val="single" w:sz="8" w:space="0" w:color="6EB444" w:themeColor="accent3"/>
          <w:bottom w:val="single" w:sz="8" w:space="0" w:color="6EB444" w:themeColor="accent3"/>
          <w:right w:val="single" w:sz="8" w:space="0" w:color="6EB444" w:themeColor="accent3"/>
        </w:tcBorders>
        <w:shd w:val="clear" w:color="auto" w:fill="DAEDCF" w:themeFill="accent3" w:themeFillTint="3F"/>
      </w:tcPr>
    </w:tblStylePr>
    <w:tblStylePr w:type="band1Horz">
      <w:tblPr/>
      <w:tcPr>
        <w:tcBorders>
          <w:top w:val="single" w:sz="8" w:space="0" w:color="6EB444" w:themeColor="accent3"/>
          <w:left w:val="single" w:sz="8" w:space="0" w:color="6EB444" w:themeColor="accent3"/>
          <w:bottom w:val="single" w:sz="8" w:space="0" w:color="6EB444" w:themeColor="accent3"/>
          <w:right w:val="single" w:sz="8" w:space="0" w:color="6EB444" w:themeColor="accent3"/>
          <w:insideV w:val="single" w:sz="8" w:space="0" w:color="6EB444" w:themeColor="accent3"/>
        </w:tcBorders>
        <w:shd w:val="clear" w:color="auto" w:fill="DAEDCF" w:themeFill="accent3" w:themeFillTint="3F"/>
      </w:tcPr>
    </w:tblStylePr>
    <w:tblStylePr w:type="band2Horz">
      <w:tblPr/>
      <w:tcPr>
        <w:tcBorders>
          <w:top w:val="single" w:sz="8" w:space="0" w:color="6EB444" w:themeColor="accent3"/>
          <w:left w:val="single" w:sz="8" w:space="0" w:color="6EB444" w:themeColor="accent3"/>
          <w:bottom w:val="single" w:sz="8" w:space="0" w:color="6EB444" w:themeColor="accent3"/>
          <w:right w:val="single" w:sz="8" w:space="0" w:color="6EB444" w:themeColor="accent3"/>
          <w:insideV w:val="single" w:sz="8" w:space="0" w:color="6EB444" w:themeColor="accent3"/>
        </w:tcBorders>
      </w:tcPr>
    </w:tblStylePr>
  </w:style>
  <w:style w:type="table" w:styleId="LightGrid-Accent4">
    <w:name w:val="Light Grid Accent 4"/>
    <w:basedOn w:val="TableNormal"/>
    <w:uiPriority w:val="62"/>
    <w:semiHidden/>
    <w:unhideWhenUsed/>
    <w:rsid w:val="007D1864"/>
    <w:pPr>
      <w:spacing w:before="0" w:after="0"/>
    </w:pPr>
    <w:tblPr>
      <w:tblStyleRowBandSize w:val="1"/>
      <w:tblStyleColBandSize w:val="1"/>
      <w:tblBorders>
        <w:top w:val="single" w:sz="8" w:space="0" w:color="FF8000" w:themeColor="accent4"/>
        <w:left w:val="single" w:sz="8" w:space="0" w:color="FF8000" w:themeColor="accent4"/>
        <w:bottom w:val="single" w:sz="8" w:space="0" w:color="FF8000" w:themeColor="accent4"/>
        <w:right w:val="single" w:sz="8" w:space="0" w:color="FF8000" w:themeColor="accent4"/>
        <w:insideH w:val="single" w:sz="8" w:space="0" w:color="FF8000" w:themeColor="accent4"/>
        <w:insideV w:val="single" w:sz="8" w:space="0" w:color="FF8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8000" w:themeColor="accent4"/>
          <w:left w:val="single" w:sz="8" w:space="0" w:color="FF8000" w:themeColor="accent4"/>
          <w:bottom w:val="single" w:sz="18" w:space="0" w:color="FF8000" w:themeColor="accent4"/>
          <w:right w:val="single" w:sz="8" w:space="0" w:color="FF8000" w:themeColor="accent4"/>
          <w:insideH w:val="nil"/>
          <w:insideV w:val="single" w:sz="8" w:space="0" w:color="FF8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8000" w:themeColor="accent4"/>
          <w:left w:val="single" w:sz="8" w:space="0" w:color="FF8000" w:themeColor="accent4"/>
          <w:bottom w:val="single" w:sz="8" w:space="0" w:color="FF8000" w:themeColor="accent4"/>
          <w:right w:val="single" w:sz="8" w:space="0" w:color="FF8000" w:themeColor="accent4"/>
          <w:insideH w:val="nil"/>
          <w:insideV w:val="single" w:sz="8" w:space="0" w:color="FF8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8000" w:themeColor="accent4"/>
          <w:left w:val="single" w:sz="8" w:space="0" w:color="FF8000" w:themeColor="accent4"/>
          <w:bottom w:val="single" w:sz="8" w:space="0" w:color="FF8000" w:themeColor="accent4"/>
          <w:right w:val="single" w:sz="8" w:space="0" w:color="FF8000" w:themeColor="accent4"/>
        </w:tcBorders>
      </w:tcPr>
    </w:tblStylePr>
    <w:tblStylePr w:type="band1Vert">
      <w:tblPr/>
      <w:tcPr>
        <w:tcBorders>
          <w:top w:val="single" w:sz="8" w:space="0" w:color="FF8000" w:themeColor="accent4"/>
          <w:left w:val="single" w:sz="8" w:space="0" w:color="FF8000" w:themeColor="accent4"/>
          <w:bottom w:val="single" w:sz="8" w:space="0" w:color="FF8000" w:themeColor="accent4"/>
          <w:right w:val="single" w:sz="8" w:space="0" w:color="FF8000" w:themeColor="accent4"/>
        </w:tcBorders>
        <w:shd w:val="clear" w:color="auto" w:fill="FFDFC0" w:themeFill="accent4" w:themeFillTint="3F"/>
      </w:tcPr>
    </w:tblStylePr>
    <w:tblStylePr w:type="band1Horz">
      <w:tblPr/>
      <w:tcPr>
        <w:tcBorders>
          <w:top w:val="single" w:sz="8" w:space="0" w:color="FF8000" w:themeColor="accent4"/>
          <w:left w:val="single" w:sz="8" w:space="0" w:color="FF8000" w:themeColor="accent4"/>
          <w:bottom w:val="single" w:sz="8" w:space="0" w:color="FF8000" w:themeColor="accent4"/>
          <w:right w:val="single" w:sz="8" w:space="0" w:color="FF8000" w:themeColor="accent4"/>
          <w:insideV w:val="single" w:sz="8" w:space="0" w:color="FF8000" w:themeColor="accent4"/>
        </w:tcBorders>
        <w:shd w:val="clear" w:color="auto" w:fill="FFDFC0" w:themeFill="accent4" w:themeFillTint="3F"/>
      </w:tcPr>
    </w:tblStylePr>
    <w:tblStylePr w:type="band2Horz">
      <w:tblPr/>
      <w:tcPr>
        <w:tcBorders>
          <w:top w:val="single" w:sz="8" w:space="0" w:color="FF8000" w:themeColor="accent4"/>
          <w:left w:val="single" w:sz="8" w:space="0" w:color="FF8000" w:themeColor="accent4"/>
          <w:bottom w:val="single" w:sz="8" w:space="0" w:color="FF8000" w:themeColor="accent4"/>
          <w:right w:val="single" w:sz="8" w:space="0" w:color="FF8000" w:themeColor="accent4"/>
          <w:insideV w:val="single" w:sz="8" w:space="0" w:color="FF8000" w:themeColor="accent4"/>
        </w:tcBorders>
      </w:tcPr>
    </w:tblStylePr>
  </w:style>
  <w:style w:type="table" w:styleId="LightGrid-Accent5">
    <w:name w:val="Light Grid Accent 5"/>
    <w:basedOn w:val="TableNormal"/>
    <w:uiPriority w:val="62"/>
    <w:semiHidden/>
    <w:unhideWhenUsed/>
    <w:rsid w:val="007D1864"/>
    <w:pPr>
      <w:spacing w:before="0" w:after="0"/>
    </w:pPr>
    <w:tblPr>
      <w:tblStyleRowBandSize w:val="1"/>
      <w:tblStyleColBandSize w:val="1"/>
      <w:tblBorders>
        <w:top w:val="single" w:sz="8" w:space="0" w:color="CC003F" w:themeColor="accent5"/>
        <w:left w:val="single" w:sz="8" w:space="0" w:color="CC003F" w:themeColor="accent5"/>
        <w:bottom w:val="single" w:sz="8" w:space="0" w:color="CC003F" w:themeColor="accent5"/>
        <w:right w:val="single" w:sz="8" w:space="0" w:color="CC003F" w:themeColor="accent5"/>
        <w:insideH w:val="single" w:sz="8" w:space="0" w:color="CC003F" w:themeColor="accent5"/>
        <w:insideV w:val="single" w:sz="8" w:space="0" w:color="CC003F"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003F" w:themeColor="accent5"/>
          <w:left w:val="single" w:sz="8" w:space="0" w:color="CC003F" w:themeColor="accent5"/>
          <w:bottom w:val="single" w:sz="18" w:space="0" w:color="CC003F" w:themeColor="accent5"/>
          <w:right w:val="single" w:sz="8" w:space="0" w:color="CC003F" w:themeColor="accent5"/>
          <w:insideH w:val="nil"/>
          <w:insideV w:val="single" w:sz="8" w:space="0" w:color="CC003F"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003F" w:themeColor="accent5"/>
          <w:left w:val="single" w:sz="8" w:space="0" w:color="CC003F" w:themeColor="accent5"/>
          <w:bottom w:val="single" w:sz="8" w:space="0" w:color="CC003F" w:themeColor="accent5"/>
          <w:right w:val="single" w:sz="8" w:space="0" w:color="CC003F" w:themeColor="accent5"/>
          <w:insideH w:val="nil"/>
          <w:insideV w:val="single" w:sz="8" w:space="0" w:color="CC003F"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003F" w:themeColor="accent5"/>
          <w:left w:val="single" w:sz="8" w:space="0" w:color="CC003F" w:themeColor="accent5"/>
          <w:bottom w:val="single" w:sz="8" w:space="0" w:color="CC003F" w:themeColor="accent5"/>
          <w:right w:val="single" w:sz="8" w:space="0" w:color="CC003F" w:themeColor="accent5"/>
        </w:tcBorders>
      </w:tcPr>
    </w:tblStylePr>
    <w:tblStylePr w:type="band1Vert">
      <w:tblPr/>
      <w:tcPr>
        <w:tcBorders>
          <w:top w:val="single" w:sz="8" w:space="0" w:color="CC003F" w:themeColor="accent5"/>
          <w:left w:val="single" w:sz="8" w:space="0" w:color="CC003F" w:themeColor="accent5"/>
          <w:bottom w:val="single" w:sz="8" w:space="0" w:color="CC003F" w:themeColor="accent5"/>
          <w:right w:val="single" w:sz="8" w:space="0" w:color="CC003F" w:themeColor="accent5"/>
        </w:tcBorders>
        <w:shd w:val="clear" w:color="auto" w:fill="FFB3CA" w:themeFill="accent5" w:themeFillTint="3F"/>
      </w:tcPr>
    </w:tblStylePr>
    <w:tblStylePr w:type="band1Horz">
      <w:tblPr/>
      <w:tcPr>
        <w:tcBorders>
          <w:top w:val="single" w:sz="8" w:space="0" w:color="CC003F" w:themeColor="accent5"/>
          <w:left w:val="single" w:sz="8" w:space="0" w:color="CC003F" w:themeColor="accent5"/>
          <w:bottom w:val="single" w:sz="8" w:space="0" w:color="CC003F" w:themeColor="accent5"/>
          <w:right w:val="single" w:sz="8" w:space="0" w:color="CC003F" w:themeColor="accent5"/>
          <w:insideV w:val="single" w:sz="8" w:space="0" w:color="CC003F" w:themeColor="accent5"/>
        </w:tcBorders>
        <w:shd w:val="clear" w:color="auto" w:fill="FFB3CA" w:themeFill="accent5" w:themeFillTint="3F"/>
      </w:tcPr>
    </w:tblStylePr>
    <w:tblStylePr w:type="band2Horz">
      <w:tblPr/>
      <w:tcPr>
        <w:tcBorders>
          <w:top w:val="single" w:sz="8" w:space="0" w:color="CC003F" w:themeColor="accent5"/>
          <w:left w:val="single" w:sz="8" w:space="0" w:color="CC003F" w:themeColor="accent5"/>
          <w:bottom w:val="single" w:sz="8" w:space="0" w:color="CC003F" w:themeColor="accent5"/>
          <w:right w:val="single" w:sz="8" w:space="0" w:color="CC003F" w:themeColor="accent5"/>
          <w:insideV w:val="single" w:sz="8" w:space="0" w:color="CC003F" w:themeColor="accent5"/>
        </w:tcBorders>
      </w:tcPr>
    </w:tblStylePr>
  </w:style>
  <w:style w:type="table" w:styleId="LightGrid-Accent6">
    <w:name w:val="Light Grid Accent 6"/>
    <w:basedOn w:val="TableNormal"/>
    <w:uiPriority w:val="62"/>
    <w:semiHidden/>
    <w:unhideWhenUsed/>
    <w:rsid w:val="007D1864"/>
    <w:pPr>
      <w:spacing w:before="0" w:after="0"/>
    </w:pPr>
    <w:tblPr>
      <w:tblStyleRowBandSize w:val="1"/>
      <w:tblStyleColBandSize w:val="1"/>
      <w:tblBorders>
        <w:top w:val="single" w:sz="8" w:space="0" w:color="7C3877" w:themeColor="accent6"/>
        <w:left w:val="single" w:sz="8" w:space="0" w:color="7C3877" w:themeColor="accent6"/>
        <w:bottom w:val="single" w:sz="8" w:space="0" w:color="7C3877" w:themeColor="accent6"/>
        <w:right w:val="single" w:sz="8" w:space="0" w:color="7C3877" w:themeColor="accent6"/>
        <w:insideH w:val="single" w:sz="8" w:space="0" w:color="7C3877" w:themeColor="accent6"/>
        <w:insideV w:val="single" w:sz="8" w:space="0" w:color="7C387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C3877" w:themeColor="accent6"/>
          <w:left w:val="single" w:sz="8" w:space="0" w:color="7C3877" w:themeColor="accent6"/>
          <w:bottom w:val="single" w:sz="18" w:space="0" w:color="7C3877" w:themeColor="accent6"/>
          <w:right w:val="single" w:sz="8" w:space="0" w:color="7C3877" w:themeColor="accent6"/>
          <w:insideH w:val="nil"/>
          <w:insideV w:val="single" w:sz="8" w:space="0" w:color="7C387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C3877" w:themeColor="accent6"/>
          <w:left w:val="single" w:sz="8" w:space="0" w:color="7C3877" w:themeColor="accent6"/>
          <w:bottom w:val="single" w:sz="8" w:space="0" w:color="7C3877" w:themeColor="accent6"/>
          <w:right w:val="single" w:sz="8" w:space="0" w:color="7C3877" w:themeColor="accent6"/>
          <w:insideH w:val="nil"/>
          <w:insideV w:val="single" w:sz="8" w:space="0" w:color="7C387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C3877" w:themeColor="accent6"/>
          <w:left w:val="single" w:sz="8" w:space="0" w:color="7C3877" w:themeColor="accent6"/>
          <w:bottom w:val="single" w:sz="8" w:space="0" w:color="7C3877" w:themeColor="accent6"/>
          <w:right w:val="single" w:sz="8" w:space="0" w:color="7C3877" w:themeColor="accent6"/>
        </w:tcBorders>
      </w:tcPr>
    </w:tblStylePr>
    <w:tblStylePr w:type="band1Vert">
      <w:tblPr/>
      <w:tcPr>
        <w:tcBorders>
          <w:top w:val="single" w:sz="8" w:space="0" w:color="7C3877" w:themeColor="accent6"/>
          <w:left w:val="single" w:sz="8" w:space="0" w:color="7C3877" w:themeColor="accent6"/>
          <w:bottom w:val="single" w:sz="8" w:space="0" w:color="7C3877" w:themeColor="accent6"/>
          <w:right w:val="single" w:sz="8" w:space="0" w:color="7C3877" w:themeColor="accent6"/>
        </w:tcBorders>
        <w:shd w:val="clear" w:color="auto" w:fill="E5C6E3" w:themeFill="accent6" w:themeFillTint="3F"/>
      </w:tcPr>
    </w:tblStylePr>
    <w:tblStylePr w:type="band1Horz">
      <w:tblPr/>
      <w:tcPr>
        <w:tcBorders>
          <w:top w:val="single" w:sz="8" w:space="0" w:color="7C3877" w:themeColor="accent6"/>
          <w:left w:val="single" w:sz="8" w:space="0" w:color="7C3877" w:themeColor="accent6"/>
          <w:bottom w:val="single" w:sz="8" w:space="0" w:color="7C3877" w:themeColor="accent6"/>
          <w:right w:val="single" w:sz="8" w:space="0" w:color="7C3877" w:themeColor="accent6"/>
          <w:insideV w:val="single" w:sz="8" w:space="0" w:color="7C3877" w:themeColor="accent6"/>
        </w:tcBorders>
        <w:shd w:val="clear" w:color="auto" w:fill="E5C6E3" w:themeFill="accent6" w:themeFillTint="3F"/>
      </w:tcPr>
    </w:tblStylePr>
    <w:tblStylePr w:type="band2Horz">
      <w:tblPr/>
      <w:tcPr>
        <w:tcBorders>
          <w:top w:val="single" w:sz="8" w:space="0" w:color="7C3877" w:themeColor="accent6"/>
          <w:left w:val="single" w:sz="8" w:space="0" w:color="7C3877" w:themeColor="accent6"/>
          <w:bottom w:val="single" w:sz="8" w:space="0" w:color="7C3877" w:themeColor="accent6"/>
          <w:right w:val="single" w:sz="8" w:space="0" w:color="7C3877" w:themeColor="accent6"/>
          <w:insideV w:val="single" w:sz="8" w:space="0" w:color="7C3877" w:themeColor="accent6"/>
        </w:tcBorders>
      </w:tcPr>
    </w:tblStylePr>
  </w:style>
  <w:style w:type="table" w:styleId="LightList">
    <w:name w:val="Light List"/>
    <w:basedOn w:val="TableNormal"/>
    <w:uiPriority w:val="61"/>
    <w:semiHidden/>
    <w:unhideWhenUsed/>
    <w:rsid w:val="007D1864"/>
    <w:pPr>
      <w:spacing w:before="0"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7D1864"/>
    <w:pPr>
      <w:spacing w:before="0" w:after="0"/>
    </w:pPr>
    <w:tblPr>
      <w:tblStyleRowBandSize w:val="1"/>
      <w:tblStyleColBandSize w:val="1"/>
      <w:tblBorders>
        <w:top w:val="single" w:sz="8" w:space="0" w:color="0278AD" w:themeColor="accent1"/>
        <w:left w:val="single" w:sz="8" w:space="0" w:color="0278AD" w:themeColor="accent1"/>
        <w:bottom w:val="single" w:sz="8" w:space="0" w:color="0278AD" w:themeColor="accent1"/>
        <w:right w:val="single" w:sz="8" w:space="0" w:color="0278AD" w:themeColor="accent1"/>
      </w:tblBorders>
    </w:tblPr>
    <w:tblStylePr w:type="firstRow">
      <w:pPr>
        <w:spacing w:before="0" w:after="0" w:line="240" w:lineRule="auto"/>
      </w:pPr>
      <w:rPr>
        <w:b/>
        <w:bCs/>
        <w:color w:val="FFFFFF" w:themeColor="background1"/>
      </w:rPr>
      <w:tblPr/>
      <w:tcPr>
        <w:shd w:val="clear" w:color="auto" w:fill="0278AD" w:themeFill="accent1"/>
      </w:tcPr>
    </w:tblStylePr>
    <w:tblStylePr w:type="lastRow">
      <w:pPr>
        <w:spacing w:before="0" w:after="0" w:line="240" w:lineRule="auto"/>
      </w:pPr>
      <w:rPr>
        <w:b/>
        <w:bCs/>
      </w:rPr>
      <w:tblPr/>
      <w:tcPr>
        <w:tcBorders>
          <w:top w:val="double" w:sz="6" w:space="0" w:color="0278AD" w:themeColor="accent1"/>
          <w:left w:val="single" w:sz="8" w:space="0" w:color="0278AD" w:themeColor="accent1"/>
          <w:bottom w:val="single" w:sz="8" w:space="0" w:color="0278AD" w:themeColor="accent1"/>
          <w:right w:val="single" w:sz="8" w:space="0" w:color="0278AD" w:themeColor="accent1"/>
        </w:tcBorders>
      </w:tcPr>
    </w:tblStylePr>
    <w:tblStylePr w:type="firstCol">
      <w:rPr>
        <w:b/>
        <w:bCs/>
      </w:rPr>
    </w:tblStylePr>
    <w:tblStylePr w:type="lastCol">
      <w:rPr>
        <w:b/>
        <w:bCs/>
      </w:rPr>
    </w:tblStylePr>
    <w:tblStylePr w:type="band1Vert">
      <w:tblPr/>
      <w:tcPr>
        <w:tcBorders>
          <w:top w:val="single" w:sz="8" w:space="0" w:color="0278AD" w:themeColor="accent1"/>
          <w:left w:val="single" w:sz="8" w:space="0" w:color="0278AD" w:themeColor="accent1"/>
          <w:bottom w:val="single" w:sz="8" w:space="0" w:color="0278AD" w:themeColor="accent1"/>
          <w:right w:val="single" w:sz="8" w:space="0" w:color="0278AD" w:themeColor="accent1"/>
        </w:tcBorders>
      </w:tcPr>
    </w:tblStylePr>
    <w:tblStylePr w:type="band1Horz">
      <w:tblPr/>
      <w:tcPr>
        <w:tcBorders>
          <w:top w:val="single" w:sz="8" w:space="0" w:color="0278AD" w:themeColor="accent1"/>
          <w:left w:val="single" w:sz="8" w:space="0" w:color="0278AD" w:themeColor="accent1"/>
          <w:bottom w:val="single" w:sz="8" w:space="0" w:color="0278AD" w:themeColor="accent1"/>
          <w:right w:val="single" w:sz="8" w:space="0" w:color="0278AD" w:themeColor="accent1"/>
        </w:tcBorders>
      </w:tcPr>
    </w:tblStylePr>
  </w:style>
  <w:style w:type="table" w:styleId="LightList-Accent2">
    <w:name w:val="Light List Accent 2"/>
    <w:basedOn w:val="TableNormal"/>
    <w:uiPriority w:val="61"/>
    <w:semiHidden/>
    <w:unhideWhenUsed/>
    <w:rsid w:val="007D1864"/>
    <w:pPr>
      <w:spacing w:before="0" w:after="0"/>
    </w:pPr>
    <w:tblPr>
      <w:tblStyleRowBandSize w:val="1"/>
      <w:tblStyleColBandSize w:val="1"/>
      <w:tblBorders>
        <w:top w:val="single" w:sz="8" w:space="0" w:color="FCB717" w:themeColor="accent2"/>
        <w:left w:val="single" w:sz="8" w:space="0" w:color="FCB717" w:themeColor="accent2"/>
        <w:bottom w:val="single" w:sz="8" w:space="0" w:color="FCB717" w:themeColor="accent2"/>
        <w:right w:val="single" w:sz="8" w:space="0" w:color="FCB717" w:themeColor="accent2"/>
      </w:tblBorders>
    </w:tblPr>
    <w:tblStylePr w:type="firstRow">
      <w:pPr>
        <w:spacing w:before="0" w:after="0" w:line="240" w:lineRule="auto"/>
      </w:pPr>
      <w:rPr>
        <w:b/>
        <w:bCs/>
        <w:color w:val="FFFFFF" w:themeColor="background1"/>
      </w:rPr>
      <w:tblPr/>
      <w:tcPr>
        <w:shd w:val="clear" w:color="auto" w:fill="FCB717" w:themeFill="accent2"/>
      </w:tcPr>
    </w:tblStylePr>
    <w:tblStylePr w:type="lastRow">
      <w:pPr>
        <w:spacing w:before="0" w:after="0" w:line="240" w:lineRule="auto"/>
      </w:pPr>
      <w:rPr>
        <w:b/>
        <w:bCs/>
      </w:rPr>
      <w:tblPr/>
      <w:tcPr>
        <w:tcBorders>
          <w:top w:val="double" w:sz="6" w:space="0" w:color="FCB717" w:themeColor="accent2"/>
          <w:left w:val="single" w:sz="8" w:space="0" w:color="FCB717" w:themeColor="accent2"/>
          <w:bottom w:val="single" w:sz="8" w:space="0" w:color="FCB717" w:themeColor="accent2"/>
          <w:right w:val="single" w:sz="8" w:space="0" w:color="FCB717" w:themeColor="accent2"/>
        </w:tcBorders>
      </w:tcPr>
    </w:tblStylePr>
    <w:tblStylePr w:type="firstCol">
      <w:rPr>
        <w:b/>
        <w:bCs/>
      </w:rPr>
    </w:tblStylePr>
    <w:tblStylePr w:type="lastCol">
      <w:rPr>
        <w:b/>
        <w:bCs/>
      </w:rPr>
    </w:tblStylePr>
    <w:tblStylePr w:type="band1Vert">
      <w:tblPr/>
      <w:tcPr>
        <w:tcBorders>
          <w:top w:val="single" w:sz="8" w:space="0" w:color="FCB717" w:themeColor="accent2"/>
          <w:left w:val="single" w:sz="8" w:space="0" w:color="FCB717" w:themeColor="accent2"/>
          <w:bottom w:val="single" w:sz="8" w:space="0" w:color="FCB717" w:themeColor="accent2"/>
          <w:right w:val="single" w:sz="8" w:space="0" w:color="FCB717" w:themeColor="accent2"/>
        </w:tcBorders>
      </w:tcPr>
    </w:tblStylePr>
    <w:tblStylePr w:type="band1Horz">
      <w:tblPr/>
      <w:tcPr>
        <w:tcBorders>
          <w:top w:val="single" w:sz="8" w:space="0" w:color="FCB717" w:themeColor="accent2"/>
          <w:left w:val="single" w:sz="8" w:space="0" w:color="FCB717" w:themeColor="accent2"/>
          <w:bottom w:val="single" w:sz="8" w:space="0" w:color="FCB717" w:themeColor="accent2"/>
          <w:right w:val="single" w:sz="8" w:space="0" w:color="FCB717" w:themeColor="accent2"/>
        </w:tcBorders>
      </w:tcPr>
    </w:tblStylePr>
  </w:style>
  <w:style w:type="table" w:styleId="LightList-Accent3">
    <w:name w:val="Light List Accent 3"/>
    <w:basedOn w:val="TableNormal"/>
    <w:uiPriority w:val="61"/>
    <w:semiHidden/>
    <w:unhideWhenUsed/>
    <w:rsid w:val="007D1864"/>
    <w:pPr>
      <w:spacing w:before="0" w:after="0"/>
    </w:pPr>
    <w:tblPr>
      <w:tblStyleRowBandSize w:val="1"/>
      <w:tblStyleColBandSize w:val="1"/>
      <w:tblBorders>
        <w:top w:val="single" w:sz="8" w:space="0" w:color="6EB444" w:themeColor="accent3"/>
        <w:left w:val="single" w:sz="8" w:space="0" w:color="6EB444" w:themeColor="accent3"/>
        <w:bottom w:val="single" w:sz="8" w:space="0" w:color="6EB444" w:themeColor="accent3"/>
        <w:right w:val="single" w:sz="8" w:space="0" w:color="6EB444" w:themeColor="accent3"/>
      </w:tblBorders>
    </w:tblPr>
    <w:tblStylePr w:type="firstRow">
      <w:pPr>
        <w:spacing w:before="0" w:after="0" w:line="240" w:lineRule="auto"/>
      </w:pPr>
      <w:rPr>
        <w:b/>
        <w:bCs/>
        <w:color w:val="FFFFFF" w:themeColor="background1"/>
      </w:rPr>
      <w:tblPr/>
      <w:tcPr>
        <w:shd w:val="clear" w:color="auto" w:fill="6EB444" w:themeFill="accent3"/>
      </w:tcPr>
    </w:tblStylePr>
    <w:tblStylePr w:type="lastRow">
      <w:pPr>
        <w:spacing w:before="0" w:after="0" w:line="240" w:lineRule="auto"/>
      </w:pPr>
      <w:rPr>
        <w:b/>
        <w:bCs/>
      </w:rPr>
      <w:tblPr/>
      <w:tcPr>
        <w:tcBorders>
          <w:top w:val="double" w:sz="6" w:space="0" w:color="6EB444" w:themeColor="accent3"/>
          <w:left w:val="single" w:sz="8" w:space="0" w:color="6EB444" w:themeColor="accent3"/>
          <w:bottom w:val="single" w:sz="8" w:space="0" w:color="6EB444" w:themeColor="accent3"/>
          <w:right w:val="single" w:sz="8" w:space="0" w:color="6EB444" w:themeColor="accent3"/>
        </w:tcBorders>
      </w:tcPr>
    </w:tblStylePr>
    <w:tblStylePr w:type="firstCol">
      <w:rPr>
        <w:b/>
        <w:bCs/>
      </w:rPr>
    </w:tblStylePr>
    <w:tblStylePr w:type="lastCol">
      <w:rPr>
        <w:b/>
        <w:bCs/>
      </w:rPr>
    </w:tblStylePr>
    <w:tblStylePr w:type="band1Vert">
      <w:tblPr/>
      <w:tcPr>
        <w:tcBorders>
          <w:top w:val="single" w:sz="8" w:space="0" w:color="6EB444" w:themeColor="accent3"/>
          <w:left w:val="single" w:sz="8" w:space="0" w:color="6EB444" w:themeColor="accent3"/>
          <w:bottom w:val="single" w:sz="8" w:space="0" w:color="6EB444" w:themeColor="accent3"/>
          <w:right w:val="single" w:sz="8" w:space="0" w:color="6EB444" w:themeColor="accent3"/>
        </w:tcBorders>
      </w:tcPr>
    </w:tblStylePr>
    <w:tblStylePr w:type="band1Horz">
      <w:tblPr/>
      <w:tcPr>
        <w:tcBorders>
          <w:top w:val="single" w:sz="8" w:space="0" w:color="6EB444" w:themeColor="accent3"/>
          <w:left w:val="single" w:sz="8" w:space="0" w:color="6EB444" w:themeColor="accent3"/>
          <w:bottom w:val="single" w:sz="8" w:space="0" w:color="6EB444" w:themeColor="accent3"/>
          <w:right w:val="single" w:sz="8" w:space="0" w:color="6EB444" w:themeColor="accent3"/>
        </w:tcBorders>
      </w:tcPr>
    </w:tblStylePr>
  </w:style>
  <w:style w:type="table" w:styleId="LightList-Accent4">
    <w:name w:val="Light List Accent 4"/>
    <w:basedOn w:val="TableNormal"/>
    <w:uiPriority w:val="61"/>
    <w:semiHidden/>
    <w:unhideWhenUsed/>
    <w:rsid w:val="007D1864"/>
    <w:pPr>
      <w:spacing w:before="0" w:after="0"/>
    </w:pPr>
    <w:tblPr>
      <w:tblStyleRowBandSize w:val="1"/>
      <w:tblStyleColBandSize w:val="1"/>
      <w:tblBorders>
        <w:top w:val="single" w:sz="8" w:space="0" w:color="FF8000" w:themeColor="accent4"/>
        <w:left w:val="single" w:sz="8" w:space="0" w:color="FF8000" w:themeColor="accent4"/>
        <w:bottom w:val="single" w:sz="8" w:space="0" w:color="FF8000" w:themeColor="accent4"/>
        <w:right w:val="single" w:sz="8" w:space="0" w:color="FF8000" w:themeColor="accent4"/>
      </w:tblBorders>
    </w:tblPr>
    <w:tblStylePr w:type="firstRow">
      <w:pPr>
        <w:spacing w:before="0" w:after="0" w:line="240" w:lineRule="auto"/>
      </w:pPr>
      <w:rPr>
        <w:b/>
        <w:bCs/>
        <w:color w:val="FFFFFF" w:themeColor="background1"/>
      </w:rPr>
      <w:tblPr/>
      <w:tcPr>
        <w:shd w:val="clear" w:color="auto" w:fill="FF8000" w:themeFill="accent4"/>
      </w:tcPr>
    </w:tblStylePr>
    <w:tblStylePr w:type="lastRow">
      <w:pPr>
        <w:spacing w:before="0" w:after="0" w:line="240" w:lineRule="auto"/>
      </w:pPr>
      <w:rPr>
        <w:b/>
        <w:bCs/>
      </w:rPr>
      <w:tblPr/>
      <w:tcPr>
        <w:tcBorders>
          <w:top w:val="double" w:sz="6" w:space="0" w:color="FF8000" w:themeColor="accent4"/>
          <w:left w:val="single" w:sz="8" w:space="0" w:color="FF8000" w:themeColor="accent4"/>
          <w:bottom w:val="single" w:sz="8" w:space="0" w:color="FF8000" w:themeColor="accent4"/>
          <w:right w:val="single" w:sz="8" w:space="0" w:color="FF8000" w:themeColor="accent4"/>
        </w:tcBorders>
      </w:tcPr>
    </w:tblStylePr>
    <w:tblStylePr w:type="firstCol">
      <w:rPr>
        <w:b/>
        <w:bCs/>
      </w:rPr>
    </w:tblStylePr>
    <w:tblStylePr w:type="lastCol">
      <w:rPr>
        <w:b/>
        <w:bCs/>
      </w:rPr>
    </w:tblStylePr>
    <w:tblStylePr w:type="band1Vert">
      <w:tblPr/>
      <w:tcPr>
        <w:tcBorders>
          <w:top w:val="single" w:sz="8" w:space="0" w:color="FF8000" w:themeColor="accent4"/>
          <w:left w:val="single" w:sz="8" w:space="0" w:color="FF8000" w:themeColor="accent4"/>
          <w:bottom w:val="single" w:sz="8" w:space="0" w:color="FF8000" w:themeColor="accent4"/>
          <w:right w:val="single" w:sz="8" w:space="0" w:color="FF8000" w:themeColor="accent4"/>
        </w:tcBorders>
      </w:tcPr>
    </w:tblStylePr>
    <w:tblStylePr w:type="band1Horz">
      <w:tblPr/>
      <w:tcPr>
        <w:tcBorders>
          <w:top w:val="single" w:sz="8" w:space="0" w:color="FF8000" w:themeColor="accent4"/>
          <w:left w:val="single" w:sz="8" w:space="0" w:color="FF8000" w:themeColor="accent4"/>
          <w:bottom w:val="single" w:sz="8" w:space="0" w:color="FF8000" w:themeColor="accent4"/>
          <w:right w:val="single" w:sz="8" w:space="0" w:color="FF8000" w:themeColor="accent4"/>
        </w:tcBorders>
      </w:tcPr>
    </w:tblStylePr>
  </w:style>
  <w:style w:type="table" w:styleId="LightList-Accent5">
    <w:name w:val="Light List Accent 5"/>
    <w:basedOn w:val="TableNormal"/>
    <w:uiPriority w:val="61"/>
    <w:semiHidden/>
    <w:unhideWhenUsed/>
    <w:rsid w:val="007D1864"/>
    <w:pPr>
      <w:spacing w:before="0" w:after="0"/>
    </w:pPr>
    <w:tblPr>
      <w:tblStyleRowBandSize w:val="1"/>
      <w:tblStyleColBandSize w:val="1"/>
      <w:tblBorders>
        <w:top w:val="single" w:sz="8" w:space="0" w:color="CC003F" w:themeColor="accent5"/>
        <w:left w:val="single" w:sz="8" w:space="0" w:color="CC003F" w:themeColor="accent5"/>
        <w:bottom w:val="single" w:sz="8" w:space="0" w:color="CC003F" w:themeColor="accent5"/>
        <w:right w:val="single" w:sz="8" w:space="0" w:color="CC003F" w:themeColor="accent5"/>
      </w:tblBorders>
    </w:tblPr>
    <w:tblStylePr w:type="firstRow">
      <w:pPr>
        <w:spacing w:before="0" w:after="0" w:line="240" w:lineRule="auto"/>
      </w:pPr>
      <w:rPr>
        <w:b/>
        <w:bCs/>
        <w:color w:val="FFFFFF" w:themeColor="background1"/>
      </w:rPr>
      <w:tblPr/>
      <w:tcPr>
        <w:shd w:val="clear" w:color="auto" w:fill="CC003F" w:themeFill="accent5"/>
      </w:tcPr>
    </w:tblStylePr>
    <w:tblStylePr w:type="lastRow">
      <w:pPr>
        <w:spacing w:before="0" w:after="0" w:line="240" w:lineRule="auto"/>
      </w:pPr>
      <w:rPr>
        <w:b/>
        <w:bCs/>
      </w:rPr>
      <w:tblPr/>
      <w:tcPr>
        <w:tcBorders>
          <w:top w:val="double" w:sz="6" w:space="0" w:color="CC003F" w:themeColor="accent5"/>
          <w:left w:val="single" w:sz="8" w:space="0" w:color="CC003F" w:themeColor="accent5"/>
          <w:bottom w:val="single" w:sz="8" w:space="0" w:color="CC003F" w:themeColor="accent5"/>
          <w:right w:val="single" w:sz="8" w:space="0" w:color="CC003F" w:themeColor="accent5"/>
        </w:tcBorders>
      </w:tcPr>
    </w:tblStylePr>
    <w:tblStylePr w:type="firstCol">
      <w:rPr>
        <w:b/>
        <w:bCs/>
      </w:rPr>
    </w:tblStylePr>
    <w:tblStylePr w:type="lastCol">
      <w:rPr>
        <w:b/>
        <w:bCs/>
      </w:rPr>
    </w:tblStylePr>
    <w:tblStylePr w:type="band1Vert">
      <w:tblPr/>
      <w:tcPr>
        <w:tcBorders>
          <w:top w:val="single" w:sz="8" w:space="0" w:color="CC003F" w:themeColor="accent5"/>
          <w:left w:val="single" w:sz="8" w:space="0" w:color="CC003F" w:themeColor="accent5"/>
          <w:bottom w:val="single" w:sz="8" w:space="0" w:color="CC003F" w:themeColor="accent5"/>
          <w:right w:val="single" w:sz="8" w:space="0" w:color="CC003F" w:themeColor="accent5"/>
        </w:tcBorders>
      </w:tcPr>
    </w:tblStylePr>
    <w:tblStylePr w:type="band1Horz">
      <w:tblPr/>
      <w:tcPr>
        <w:tcBorders>
          <w:top w:val="single" w:sz="8" w:space="0" w:color="CC003F" w:themeColor="accent5"/>
          <w:left w:val="single" w:sz="8" w:space="0" w:color="CC003F" w:themeColor="accent5"/>
          <w:bottom w:val="single" w:sz="8" w:space="0" w:color="CC003F" w:themeColor="accent5"/>
          <w:right w:val="single" w:sz="8" w:space="0" w:color="CC003F" w:themeColor="accent5"/>
        </w:tcBorders>
      </w:tcPr>
    </w:tblStylePr>
  </w:style>
  <w:style w:type="table" w:styleId="LightList-Accent6">
    <w:name w:val="Light List Accent 6"/>
    <w:basedOn w:val="TableNormal"/>
    <w:uiPriority w:val="61"/>
    <w:semiHidden/>
    <w:unhideWhenUsed/>
    <w:rsid w:val="007D1864"/>
    <w:pPr>
      <w:spacing w:before="0" w:after="0"/>
    </w:pPr>
    <w:tblPr>
      <w:tblStyleRowBandSize w:val="1"/>
      <w:tblStyleColBandSize w:val="1"/>
      <w:tblBorders>
        <w:top w:val="single" w:sz="8" w:space="0" w:color="7C3877" w:themeColor="accent6"/>
        <w:left w:val="single" w:sz="8" w:space="0" w:color="7C3877" w:themeColor="accent6"/>
        <w:bottom w:val="single" w:sz="8" w:space="0" w:color="7C3877" w:themeColor="accent6"/>
        <w:right w:val="single" w:sz="8" w:space="0" w:color="7C3877" w:themeColor="accent6"/>
      </w:tblBorders>
    </w:tblPr>
    <w:tblStylePr w:type="firstRow">
      <w:pPr>
        <w:spacing w:before="0" w:after="0" w:line="240" w:lineRule="auto"/>
      </w:pPr>
      <w:rPr>
        <w:b/>
        <w:bCs/>
        <w:color w:val="FFFFFF" w:themeColor="background1"/>
      </w:rPr>
      <w:tblPr/>
      <w:tcPr>
        <w:shd w:val="clear" w:color="auto" w:fill="7C3877" w:themeFill="accent6"/>
      </w:tcPr>
    </w:tblStylePr>
    <w:tblStylePr w:type="lastRow">
      <w:pPr>
        <w:spacing w:before="0" w:after="0" w:line="240" w:lineRule="auto"/>
      </w:pPr>
      <w:rPr>
        <w:b/>
        <w:bCs/>
      </w:rPr>
      <w:tblPr/>
      <w:tcPr>
        <w:tcBorders>
          <w:top w:val="double" w:sz="6" w:space="0" w:color="7C3877" w:themeColor="accent6"/>
          <w:left w:val="single" w:sz="8" w:space="0" w:color="7C3877" w:themeColor="accent6"/>
          <w:bottom w:val="single" w:sz="8" w:space="0" w:color="7C3877" w:themeColor="accent6"/>
          <w:right w:val="single" w:sz="8" w:space="0" w:color="7C3877" w:themeColor="accent6"/>
        </w:tcBorders>
      </w:tcPr>
    </w:tblStylePr>
    <w:tblStylePr w:type="firstCol">
      <w:rPr>
        <w:b/>
        <w:bCs/>
      </w:rPr>
    </w:tblStylePr>
    <w:tblStylePr w:type="lastCol">
      <w:rPr>
        <w:b/>
        <w:bCs/>
      </w:rPr>
    </w:tblStylePr>
    <w:tblStylePr w:type="band1Vert">
      <w:tblPr/>
      <w:tcPr>
        <w:tcBorders>
          <w:top w:val="single" w:sz="8" w:space="0" w:color="7C3877" w:themeColor="accent6"/>
          <w:left w:val="single" w:sz="8" w:space="0" w:color="7C3877" w:themeColor="accent6"/>
          <w:bottom w:val="single" w:sz="8" w:space="0" w:color="7C3877" w:themeColor="accent6"/>
          <w:right w:val="single" w:sz="8" w:space="0" w:color="7C3877" w:themeColor="accent6"/>
        </w:tcBorders>
      </w:tcPr>
    </w:tblStylePr>
    <w:tblStylePr w:type="band1Horz">
      <w:tblPr/>
      <w:tcPr>
        <w:tcBorders>
          <w:top w:val="single" w:sz="8" w:space="0" w:color="7C3877" w:themeColor="accent6"/>
          <w:left w:val="single" w:sz="8" w:space="0" w:color="7C3877" w:themeColor="accent6"/>
          <w:bottom w:val="single" w:sz="8" w:space="0" w:color="7C3877" w:themeColor="accent6"/>
          <w:right w:val="single" w:sz="8" w:space="0" w:color="7C3877" w:themeColor="accent6"/>
        </w:tcBorders>
      </w:tcPr>
    </w:tblStylePr>
  </w:style>
  <w:style w:type="table" w:styleId="LightShading">
    <w:name w:val="Light Shading"/>
    <w:basedOn w:val="TableNormal"/>
    <w:uiPriority w:val="60"/>
    <w:semiHidden/>
    <w:unhideWhenUsed/>
    <w:rsid w:val="007D1864"/>
    <w:pPr>
      <w:spacing w:before="0"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7D1864"/>
    <w:pPr>
      <w:spacing w:before="0" w:after="0"/>
    </w:pPr>
    <w:rPr>
      <w:color w:val="015981" w:themeColor="accent1" w:themeShade="BF"/>
    </w:rPr>
    <w:tblPr>
      <w:tblStyleRowBandSize w:val="1"/>
      <w:tblStyleColBandSize w:val="1"/>
      <w:tblBorders>
        <w:top w:val="single" w:sz="8" w:space="0" w:color="0278AD" w:themeColor="accent1"/>
        <w:bottom w:val="single" w:sz="8" w:space="0" w:color="0278AD" w:themeColor="accent1"/>
      </w:tblBorders>
    </w:tblPr>
    <w:tblStylePr w:type="firstRow">
      <w:pPr>
        <w:spacing w:before="0" w:after="0" w:line="240" w:lineRule="auto"/>
      </w:pPr>
      <w:rPr>
        <w:b/>
        <w:bCs/>
      </w:rPr>
      <w:tblPr/>
      <w:tcPr>
        <w:tcBorders>
          <w:top w:val="single" w:sz="8" w:space="0" w:color="0278AD" w:themeColor="accent1"/>
          <w:left w:val="nil"/>
          <w:bottom w:val="single" w:sz="8" w:space="0" w:color="0278AD" w:themeColor="accent1"/>
          <w:right w:val="nil"/>
          <w:insideH w:val="nil"/>
          <w:insideV w:val="nil"/>
        </w:tcBorders>
      </w:tcPr>
    </w:tblStylePr>
    <w:tblStylePr w:type="lastRow">
      <w:pPr>
        <w:spacing w:before="0" w:after="0" w:line="240" w:lineRule="auto"/>
      </w:pPr>
      <w:rPr>
        <w:b/>
        <w:bCs/>
      </w:rPr>
      <w:tblPr/>
      <w:tcPr>
        <w:tcBorders>
          <w:top w:val="single" w:sz="8" w:space="0" w:color="0278AD" w:themeColor="accent1"/>
          <w:left w:val="nil"/>
          <w:bottom w:val="single" w:sz="8" w:space="0" w:color="0278A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E4FE" w:themeFill="accent1" w:themeFillTint="3F"/>
      </w:tcPr>
    </w:tblStylePr>
    <w:tblStylePr w:type="band1Horz">
      <w:tblPr/>
      <w:tcPr>
        <w:tcBorders>
          <w:left w:val="nil"/>
          <w:right w:val="nil"/>
          <w:insideH w:val="nil"/>
          <w:insideV w:val="nil"/>
        </w:tcBorders>
        <w:shd w:val="clear" w:color="auto" w:fill="ACE4FE" w:themeFill="accent1" w:themeFillTint="3F"/>
      </w:tcPr>
    </w:tblStylePr>
  </w:style>
  <w:style w:type="table" w:styleId="LightShading-Accent2">
    <w:name w:val="Light Shading Accent 2"/>
    <w:basedOn w:val="TableNormal"/>
    <w:uiPriority w:val="60"/>
    <w:semiHidden/>
    <w:unhideWhenUsed/>
    <w:rsid w:val="007D1864"/>
    <w:pPr>
      <w:spacing w:before="0" w:after="0"/>
    </w:pPr>
    <w:rPr>
      <w:color w:val="CA8E02" w:themeColor="accent2" w:themeShade="BF"/>
    </w:rPr>
    <w:tblPr>
      <w:tblStyleRowBandSize w:val="1"/>
      <w:tblStyleColBandSize w:val="1"/>
      <w:tblBorders>
        <w:top w:val="single" w:sz="8" w:space="0" w:color="FCB717" w:themeColor="accent2"/>
        <w:bottom w:val="single" w:sz="8" w:space="0" w:color="FCB717" w:themeColor="accent2"/>
      </w:tblBorders>
    </w:tblPr>
    <w:tblStylePr w:type="firstRow">
      <w:pPr>
        <w:spacing w:before="0" w:after="0" w:line="240" w:lineRule="auto"/>
      </w:pPr>
      <w:rPr>
        <w:b/>
        <w:bCs/>
      </w:rPr>
      <w:tblPr/>
      <w:tcPr>
        <w:tcBorders>
          <w:top w:val="single" w:sz="8" w:space="0" w:color="FCB717" w:themeColor="accent2"/>
          <w:left w:val="nil"/>
          <w:bottom w:val="single" w:sz="8" w:space="0" w:color="FCB717" w:themeColor="accent2"/>
          <w:right w:val="nil"/>
          <w:insideH w:val="nil"/>
          <w:insideV w:val="nil"/>
        </w:tcBorders>
      </w:tcPr>
    </w:tblStylePr>
    <w:tblStylePr w:type="lastRow">
      <w:pPr>
        <w:spacing w:before="0" w:after="0" w:line="240" w:lineRule="auto"/>
      </w:pPr>
      <w:rPr>
        <w:b/>
        <w:bCs/>
      </w:rPr>
      <w:tblPr/>
      <w:tcPr>
        <w:tcBorders>
          <w:top w:val="single" w:sz="8" w:space="0" w:color="FCB717" w:themeColor="accent2"/>
          <w:left w:val="nil"/>
          <w:bottom w:val="single" w:sz="8" w:space="0" w:color="FCB71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DC5" w:themeFill="accent2" w:themeFillTint="3F"/>
      </w:tcPr>
    </w:tblStylePr>
    <w:tblStylePr w:type="band1Horz">
      <w:tblPr/>
      <w:tcPr>
        <w:tcBorders>
          <w:left w:val="nil"/>
          <w:right w:val="nil"/>
          <w:insideH w:val="nil"/>
          <w:insideV w:val="nil"/>
        </w:tcBorders>
        <w:shd w:val="clear" w:color="auto" w:fill="FEEDC5" w:themeFill="accent2" w:themeFillTint="3F"/>
      </w:tcPr>
    </w:tblStylePr>
  </w:style>
  <w:style w:type="table" w:styleId="LightShading-Accent3">
    <w:name w:val="Light Shading Accent 3"/>
    <w:basedOn w:val="TableNormal"/>
    <w:uiPriority w:val="60"/>
    <w:semiHidden/>
    <w:unhideWhenUsed/>
    <w:rsid w:val="007D1864"/>
    <w:pPr>
      <w:spacing w:before="0" w:after="0"/>
    </w:pPr>
    <w:rPr>
      <w:color w:val="528633" w:themeColor="accent3" w:themeShade="BF"/>
    </w:rPr>
    <w:tblPr>
      <w:tblStyleRowBandSize w:val="1"/>
      <w:tblStyleColBandSize w:val="1"/>
      <w:tblBorders>
        <w:top w:val="single" w:sz="8" w:space="0" w:color="6EB444" w:themeColor="accent3"/>
        <w:bottom w:val="single" w:sz="8" w:space="0" w:color="6EB444" w:themeColor="accent3"/>
      </w:tblBorders>
    </w:tblPr>
    <w:tblStylePr w:type="firstRow">
      <w:pPr>
        <w:spacing w:before="0" w:after="0" w:line="240" w:lineRule="auto"/>
      </w:pPr>
      <w:rPr>
        <w:b/>
        <w:bCs/>
      </w:rPr>
      <w:tblPr/>
      <w:tcPr>
        <w:tcBorders>
          <w:top w:val="single" w:sz="8" w:space="0" w:color="6EB444" w:themeColor="accent3"/>
          <w:left w:val="nil"/>
          <w:bottom w:val="single" w:sz="8" w:space="0" w:color="6EB444" w:themeColor="accent3"/>
          <w:right w:val="nil"/>
          <w:insideH w:val="nil"/>
          <w:insideV w:val="nil"/>
        </w:tcBorders>
      </w:tcPr>
    </w:tblStylePr>
    <w:tblStylePr w:type="lastRow">
      <w:pPr>
        <w:spacing w:before="0" w:after="0" w:line="240" w:lineRule="auto"/>
      </w:pPr>
      <w:rPr>
        <w:b/>
        <w:bCs/>
      </w:rPr>
      <w:tblPr/>
      <w:tcPr>
        <w:tcBorders>
          <w:top w:val="single" w:sz="8" w:space="0" w:color="6EB444" w:themeColor="accent3"/>
          <w:left w:val="nil"/>
          <w:bottom w:val="single" w:sz="8" w:space="0" w:color="6EB44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DCF" w:themeFill="accent3" w:themeFillTint="3F"/>
      </w:tcPr>
    </w:tblStylePr>
    <w:tblStylePr w:type="band1Horz">
      <w:tblPr/>
      <w:tcPr>
        <w:tcBorders>
          <w:left w:val="nil"/>
          <w:right w:val="nil"/>
          <w:insideH w:val="nil"/>
          <w:insideV w:val="nil"/>
        </w:tcBorders>
        <w:shd w:val="clear" w:color="auto" w:fill="DAEDCF" w:themeFill="accent3" w:themeFillTint="3F"/>
      </w:tcPr>
    </w:tblStylePr>
  </w:style>
  <w:style w:type="table" w:styleId="LightShading-Accent4">
    <w:name w:val="Light Shading Accent 4"/>
    <w:basedOn w:val="TableNormal"/>
    <w:uiPriority w:val="60"/>
    <w:semiHidden/>
    <w:unhideWhenUsed/>
    <w:rsid w:val="007D1864"/>
    <w:pPr>
      <w:spacing w:before="0" w:after="0"/>
    </w:pPr>
    <w:rPr>
      <w:color w:val="BF5F00" w:themeColor="accent4" w:themeShade="BF"/>
    </w:rPr>
    <w:tblPr>
      <w:tblStyleRowBandSize w:val="1"/>
      <w:tblStyleColBandSize w:val="1"/>
      <w:tblBorders>
        <w:top w:val="single" w:sz="8" w:space="0" w:color="FF8000" w:themeColor="accent4"/>
        <w:bottom w:val="single" w:sz="8" w:space="0" w:color="FF8000" w:themeColor="accent4"/>
      </w:tblBorders>
    </w:tblPr>
    <w:tblStylePr w:type="firstRow">
      <w:pPr>
        <w:spacing w:before="0" w:after="0" w:line="240" w:lineRule="auto"/>
      </w:pPr>
      <w:rPr>
        <w:b/>
        <w:bCs/>
      </w:rPr>
      <w:tblPr/>
      <w:tcPr>
        <w:tcBorders>
          <w:top w:val="single" w:sz="8" w:space="0" w:color="FF8000" w:themeColor="accent4"/>
          <w:left w:val="nil"/>
          <w:bottom w:val="single" w:sz="8" w:space="0" w:color="FF8000" w:themeColor="accent4"/>
          <w:right w:val="nil"/>
          <w:insideH w:val="nil"/>
          <w:insideV w:val="nil"/>
        </w:tcBorders>
      </w:tcPr>
    </w:tblStylePr>
    <w:tblStylePr w:type="lastRow">
      <w:pPr>
        <w:spacing w:before="0" w:after="0" w:line="240" w:lineRule="auto"/>
      </w:pPr>
      <w:rPr>
        <w:b/>
        <w:bCs/>
      </w:rPr>
      <w:tblPr/>
      <w:tcPr>
        <w:tcBorders>
          <w:top w:val="single" w:sz="8" w:space="0" w:color="FF8000" w:themeColor="accent4"/>
          <w:left w:val="nil"/>
          <w:bottom w:val="single" w:sz="8" w:space="0" w:color="FF8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FC0" w:themeFill="accent4" w:themeFillTint="3F"/>
      </w:tcPr>
    </w:tblStylePr>
    <w:tblStylePr w:type="band1Horz">
      <w:tblPr/>
      <w:tcPr>
        <w:tcBorders>
          <w:left w:val="nil"/>
          <w:right w:val="nil"/>
          <w:insideH w:val="nil"/>
          <w:insideV w:val="nil"/>
        </w:tcBorders>
        <w:shd w:val="clear" w:color="auto" w:fill="FFDFC0" w:themeFill="accent4" w:themeFillTint="3F"/>
      </w:tcPr>
    </w:tblStylePr>
  </w:style>
  <w:style w:type="table" w:styleId="LightShading-Accent5">
    <w:name w:val="Light Shading Accent 5"/>
    <w:basedOn w:val="TableNormal"/>
    <w:uiPriority w:val="60"/>
    <w:semiHidden/>
    <w:unhideWhenUsed/>
    <w:rsid w:val="007D1864"/>
    <w:pPr>
      <w:spacing w:before="0" w:after="0"/>
    </w:pPr>
    <w:rPr>
      <w:color w:val="98002E" w:themeColor="accent5" w:themeShade="BF"/>
    </w:rPr>
    <w:tblPr>
      <w:tblStyleRowBandSize w:val="1"/>
      <w:tblStyleColBandSize w:val="1"/>
      <w:tblBorders>
        <w:top w:val="single" w:sz="8" w:space="0" w:color="CC003F" w:themeColor="accent5"/>
        <w:bottom w:val="single" w:sz="8" w:space="0" w:color="CC003F" w:themeColor="accent5"/>
      </w:tblBorders>
    </w:tblPr>
    <w:tblStylePr w:type="firstRow">
      <w:pPr>
        <w:spacing w:before="0" w:after="0" w:line="240" w:lineRule="auto"/>
      </w:pPr>
      <w:rPr>
        <w:b/>
        <w:bCs/>
      </w:rPr>
      <w:tblPr/>
      <w:tcPr>
        <w:tcBorders>
          <w:top w:val="single" w:sz="8" w:space="0" w:color="CC003F" w:themeColor="accent5"/>
          <w:left w:val="nil"/>
          <w:bottom w:val="single" w:sz="8" w:space="0" w:color="CC003F" w:themeColor="accent5"/>
          <w:right w:val="nil"/>
          <w:insideH w:val="nil"/>
          <w:insideV w:val="nil"/>
        </w:tcBorders>
      </w:tcPr>
    </w:tblStylePr>
    <w:tblStylePr w:type="lastRow">
      <w:pPr>
        <w:spacing w:before="0" w:after="0" w:line="240" w:lineRule="auto"/>
      </w:pPr>
      <w:rPr>
        <w:b/>
        <w:bCs/>
      </w:rPr>
      <w:tblPr/>
      <w:tcPr>
        <w:tcBorders>
          <w:top w:val="single" w:sz="8" w:space="0" w:color="CC003F" w:themeColor="accent5"/>
          <w:left w:val="nil"/>
          <w:bottom w:val="single" w:sz="8" w:space="0" w:color="CC003F"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3CA" w:themeFill="accent5" w:themeFillTint="3F"/>
      </w:tcPr>
    </w:tblStylePr>
    <w:tblStylePr w:type="band1Horz">
      <w:tblPr/>
      <w:tcPr>
        <w:tcBorders>
          <w:left w:val="nil"/>
          <w:right w:val="nil"/>
          <w:insideH w:val="nil"/>
          <w:insideV w:val="nil"/>
        </w:tcBorders>
        <w:shd w:val="clear" w:color="auto" w:fill="FFB3CA" w:themeFill="accent5" w:themeFillTint="3F"/>
      </w:tcPr>
    </w:tblStylePr>
  </w:style>
  <w:style w:type="table" w:styleId="LightShading-Accent6">
    <w:name w:val="Light Shading Accent 6"/>
    <w:basedOn w:val="TableNormal"/>
    <w:uiPriority w:val="60"/>
    <w:semiHidden/>
    <w:unhideWhenUsed/>
    <w:rsid w:val="007D1864"/>
    <w:pPr>
      <w:spacing w:before="0" w:after="0"/>
    </w:pPr>
    <w:rPr>
      <w:color w:val="5C2A58" w:themeColor="accent6" w:themeShade="BF"/>
    </w:rPr>
    <w:tblPr>
      <w:tblStyleRowBandSize w:val="1"/>
      <w:tblStyleColBandSize w:val="1"/>
      <w:tblBorders>
        <w:top w:val="single" w:sz="8" w:space="0" w:color="7C3877" w:themeColor="accent6"/>
        <w:bottom w:val="single" w:sz="8" w:space="0" w:color="7C3877" w:themeColor="accent6"/>
      </w:tblBorders>
    </w:tblPr>
    <w:tblStylePr w:type="firstRow">
      <w:pPr>
        <w:spacing w:before="0" w:after="0" w:line="240" w:lineRule="auto"/>
      </w:pPr>
      <w:rPr>
        <w:b/>
        <w:bCs/>
      </w:rPr>
      <w:tblPr/>
      <w:tcPr>
        <w:tcBorders>
          <w:top w:val="single" w:sz="8" w:space="0" w:color="7C3877" w:themeColor="accent6"/>
          <w:left w:val="nil"/>
          <w:bottom w:val="single" w:sz="8" w:space="0" w:color="7C3877" w:themeColor="accent6"/>
          <w:right w:val="nil"/>
          <w:insideH w:val="nil"/>
          <w:insideV w:val="nil"/>
        </w:tcBorders>
      </w:tcPr>
    </w:tblStylePr>
    <w:tblStylePr w:type="lastRow">
      <w:pPr>
        <w:spacing w:before="0" w:after="0" w:line="240" w:lineRule="auto"/>
      </w:pPr>
      <w:rPr>
        <w:b/>
        <w:bCs/>
      </w:rPr>
      <w:tblPr/>
      <w:tcPr>
        <w:tcBorders>
          <w:top w:val="single" w:sz="8" w:space="0" w:color="7C3877" w:themeColor="accent6"/>
          <w:left w:val="nil"/>
          <w:bottom w:val="single" w:sz="8" w:space="0" w:color="7C387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C6E3" w:themeFill="accent6" w:themeFillTint="3F"/>
      </w:tcPr>
    </w:tblStylePr>
    <w:tblStylePr w:type="band1Horz">
      <w:tblPr/>
      <w:tcPr>
        <w:tcBorders>
          <w:left w:val="nil"/>
          <w:right w:val="nil"/>
          <w:insideH w:val="nil"/>
          <w:insideV w:val="nil"/>
        </w:tcBorders>
        <w:shd w:val="clear" w:color="auto" w:fill="E5C6E3" w:themeFill="accent6" w:themeFillTint="3F"/>
      </w:tcPr>
    </w:tblStylePr>
  </w:style>
  <w:style w:type="table" w:styleId="ListTable1Light">
    <w:name w:val="List Table 1 Light"/>
    <w:basedOn w:val="TableNormal"/>
    <w:uiPriority w:val="46"/>
    <w:semiHidden/>
    <w:rsid w:val="007D1864"/>
    <w:pPr>
      <w:spacing w:after="0"/>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semiHidden/>
    <w:rsid w:val="007D1864"/>
    <w:pPr>
      <w:spacing w:after="0"/>
    </w:pPr>
    <w:tblPr>
      <w:tblStyleRowBandSize w:val="1"/>
      <w:tblStyleColBandSize w:val="1"/>
    </w:tblPr>
    <w:tblStylePr w:type="firstRow">
      <w:rPr>
        <w:b/>
        <w:bCs/>
      </w:rPr>
      <w:tblPr/>
      <w:tcPr>
        <w:tcBorders>
          <w:bottom w:val="single" w:sz="4" w:space="0" w:color="38BFFC" w:themeColor="accent1" w:themeTint="99"/>
        </w:tcBorders>
      </w:tcPr>
    </w:tblStylePr>
    <w:tblStylePr w:type="lastRow">
      <w:rPr>
        <w:b/>
        <w:bCs/>
      </w:rPr>
      <w:tblPr/>
      <w:tcPr>
        <w:tcBorders>
          <w:top w:val="single" w:sz="4" w:space="0" w:color="38BFFC" w:themeColor="accent1" w:themeTint="99"/>
        </w:tcBorders>
      </w:tcPr>
    </w:tblStylePr>
    <w:tblStylePr w:type="firstCol">
      <w:rPr>
        <w:b/>
        <w:bCs/>
      </w:rPr>
    </w:tblStylePr>
    <w:tblStylePr w:type="lastCol">
      <w:rPr>
        <w:b/>
        <w:bCs/>
      </w:rPr>
    </w:tblStylePr>
    <w:tblStylePr w:type="band1Vert">
      <w:tblPr/>
      <w:tcPr>
        <w:shd w:val="clear" w:color="auto" w:fill="BCE9FE" w:themeFill="accent1" w:themeFillTint="33"/>
      </w:tcPr>
    </w:tblStylePr>
    <w:tblStylePr w:type="band1Horz">
      <w:tblPr/>
      <w:tcPr>
        <w:shd w:val="clear" w:color="auto" w:fill="BCE9FE" w:themeFill="accent1" w:themeFillTint="33"/>
      </w:tcPr>
    </w:tblStylePr>
  </w:style>
  <w:style w:type="table" w:styleId="ListTable1Light-Accent2">
    <w:name w:val="List Table 1 Light Accent 2"/>
    <w:basedOn w:val="TableNormal"/>
    <w:uiPriority w:val="46"/>
    <w:semiHidden/>
    <w:rsid w:val="007D1864"/>
    <w:pPr>
      <w:spacing w:after="0"/>
    </w:pPr>
    <w:tblPr>
      <w:tblStyleRowBandSize w:val="1"/>
      <w:tblStyleColBandSize w:val="1"/>
    </w:tblPr>
    <w:tblStylePr w:type="firstRow">
      <w:rPr>
        <w:b/>
        <w:bCs/>
      </w:rPr>
      <w:tblPr/>
      <w:tcPr>
        <w:tcBorders>
          <w:bottom w:val="single" w:sz="4" w:space="0" w:color="FDD373" w:themeColor="accent2" w:themeTint="99"/>
        </w:tcBorders>
      </w:tcPr>
    </w:tblStylePr>
    <w:tblStylePr w:type="lastRow">
      <w:rPr>
        <w:b/>
        <w:bCs/>
      </w:rPr>
      <w:tblPr/>
      <w:tcPr>
        <w:tcBorders>
          <w:top w:val="single" w:sz="4" w:space="0" w:color="FDD373" w:themeColor="accent2" w:themeTint="99"/>
        </w:tcBorders>
      </w:tcPr>
    </w:tblStylePr>
    <w:tblStylePr w:type="firstCol">
      <w:rPr>
        <w:b/>
        <w:bCs/>
      </w:rPr>
    </w:tblStylePr>
    <w:tblStylePr w:type="lastCol">
      <w:rPr>
        <w:b/>
        <w:bCs/>
      </w:rPr>
    </w:tblStylePr>
    <w:tblStylePr w:type="band1Vert">
      <w:tblPr/>
      <w:tcPr>
        <w:shd w:val="clear" w:color="auto" w:fill="FEF0D0" w:themeFill="accent2" w:themeFillTint="33"/>
      </w:tcPr>
    </w:tblStylePr>
    <w:tblStylePr w:type="band1Horz">
      <w:tblPr/>
      <w:tcPr>
        <w:shd w:val="clear" w:color="auto" w:fill="FEF0D0" w:themeFill="accent2" w:themeFillTint="33"/>
      </w:tcPr>
    </w:tblStylePr>
  </w:style>
  <w:style w:type="table" w:styleId="ListTable1Light-Accent3">
    <w:name w:val="List Table 1 Light Accent 3"/>
    <w:basedOn w:val="TableNormal"/>
    <w:uiPriority w:val="46"/>
    <w:semiHidden/>
    <w:rsid w:val="007D1864"/>
    <w:pPr>
      <w:spacing w:after="0"/>
    </w:pPr>
    <w:tblPr>
      <w:tblStyleRowBandSize w:val="1"/>
      <w:tblStyleColBandSize w:val="1"/>
    </w:tblPr>
    <w:tblStylePr w:type="firstRow">
      <w:rPr>
        <w:b/>
        <w:bCs/>
      </w:rPr>
      <w:tblPr/>
      <w:tcPr>
        <w:tcBorders>
          <w:bottom w:val="single" w:sz="4" w:space="0" w:color="A7D38C" w:themeColor="accent3" w:themeTint="99"/>
        </w:tcBorders>
      </w:tcPr>
    </w:tblStylePr>
    <w:tblStylePr w:type="lastRow">
      <w:rPr>
        <w:b/>
        <w:bCs/>
      </w:rPr>
      <w:tblPr/>
      <w:tcPr>
        <w:tcBorders>
          <w:top w:val="single" w:sz="4" w:space="0" w:color="A7D38C" w:themeColor="accent3" w:themeTint="99"/>
        </w:tcBorders>
      </w:tcPr>
    </w:tblStylePr>
    <w:tblStylePr w:type="firstCol">
      <w:rPr>
        <w:b/>
        <w:bCs/>
      </w:rPr>
    </w:tblStylePr>
    <w:tblStylePr w:type="lastCol">
      <w:rPr>
        <w:b/>
        <w:bCs/>
      </w:rPr>
    </w:tblStylePr>
    <w:tblStylePr w:type="band1Vert">
      <w:tblPr/>
      <w:tcPr>
        <w:shd w:val="clear" w:color="auto" w:fill="E1F0D8" w:themeFill="accent3" w:themeFillTint="33"/>
      </w:tcPr>
    </w:tblStylePr>
    <w:tblStylePr w:type="band1Horz">
      <w:tblPr/>
      <w:tcPr>
        <w:shd w:val="clear" w:color="auto" w:fill="E1F0D8" w:themeFill="accent3" w:themeFillTint="33"/>
      </w:tcPr>
    </w:tblStylePr>
  </w:style>
  <w:style w:type="table" w:styleId="ListTable1Light-Accent4">
    <w:name w:val="List Table 1 Light Accent 4"/>
    <w:basedOn w:val="TableNormal"/>
    <w:uiPriority w:val="46"/>
    <w:semiHidden/>
    <w:rsid w:val="007D1864"/>
    <w:pPr>
      <w:spacing w:after="0"/>
    </w:pPr>
    <w:tblPr>
      <w:tblStyleRowBandSize w:val="1"/>
      <w:tblStyleColBandSize w:val="1"/>
    </w:tblPr>
    <w:tblStylePr w:type="firstRow">
      <w:rPr>
        <w:b/>
        <w:bCs/>
      </w:rPr>
      <w:tblPr/>
      <w:tcPr>
        <w:tcBorders>
          <w:bottom w:val="single" w:sz="4" w:space="0" w:color="FFB266" w:themeColor="accent4" w:themeTint="99"/>
        </w:tcBorders>
      </w:tcPr>
    </w:tblStylePr>
    <w:tblStylePr w:type="lastRow">
      <w:rPr>
        <w:b/>
        <w:bCs/>
      </w:rPr>
      <w:tblPr/>
      <w:tcPr>
        <w:tcBorders>
          <w:top w:val="single" w:sz="4" w:space="0" w:color="FFB266" w:themeColor="accent4" w:themeTint="99"/>
        </w:tcBorders>
      </w:tcPr>
    </w:tblStylePr>
    <w:tblStylePr w:type="firstCol">
      <w:rPr>
        <w:b/>
        <w:bCs/>
      </w:rPr>
    </w:tblStylePr>
    <w:tblStylePr w:type="lastCol">
      <w:rPr>
        <w:b/>
        <w:bCs/>
      </w:rPr>
    </w:tblStylePr>
    <w:tblStylePr w:type="band1Vert">
      <w:tblPr/>
      <w:tcPr>
        <w:shd w:val="clear" w:color="auto" w:fill="FFE5CC" w:themeFill="accent4" w:themeFillTint="33"/>
      </w:tcPr>
    </w:tblStylePr>
    <w:tblStylePr w:type="band1Horz">
      <w:tblPr/>
      <w:tcPr>
        <w:shd w:val="clear" w:color="auto" w:fill="FFE5CC" w:themeFill="accent4" w:themeFillTint="33"/>
      </w:tcPr>
    </w:tblStylePr>
  </w:style>
  <w:style w:type="table" w:styleId="ListTable1Light-Accent5">
    <w:name w:val="List Table 1 Light Accent 5"/>
    <w:basedOn w:val="TableNormal"/>
    <w:uiPriority w:val="46"/>
    <w:semiHidden/>
    <w:rsid w:val="007D1864"/>
    <w:pPr>
      <w:spacing w:after="0"/>
    </w:pPr>
    <w:tblPr>
      <w:tblStyleRowBandSize w:val="1"/>
      <w:tblStyleColBandSize w:val="1"/>
    </w:tblPr>
    <w:tblStylePr w:type="firstRow">
      <w:rPr>
        <w:b/>
        <w:bCs/>
      </w:rPr>
      <w:tblPr/>
      <w:tcPr>
        <w:tcBorders>
          <w:bottom w:val="single" w:sz="4" w:space="0" w:color="FF477F" w:themeColor="accent5" w:themeTint="99"/>
        </w:tcBorders>
      </w:tcPr>
    </w:tblStylePr>
    <w:tblStylePr w:type="lastRow">
      <w:rPr>
        <w:b/>
        <w:bCs/>
      </w:rPr>
      <w:tblPr/>
      <w:tcPr>
        <w:tcBorders>
          <w:top w:val="single" w:sz="4" w:space="0" w:color="FF477F" w:themeColor="accent5" w:themeTint="99"/>
        </w:tcBorders>
      </w:tcPr>
    </w:tblStylePr>
    <w:tblStylePr w:type="firstCol">
      <w:rPr>
        <w:b/>
        <w:bCs/>
      </w:rPr>
    </w:tblStylePr>
    <w:tblStylePr w:type="lastCol">
      <w:rPr>
        <w:b/>
        <w:bCs/>
      </w:rPr>
    </w:tblStylePr>
    <w:tblStylePr w:type="band1Vert">
      <w:tblPr/>
      <w:tcPr>
        <w:shd w:val="clear" w:color="auto" w:fill="FFC1D4" w:themeFill="accent5" w:themeFillTint="33"/>
      </w:tcPr>
    </w:tblStylePr>
    <w:tblStylePr w:type="band1Horz">
      <w:tblPr/>
      <w:tcPr>
        <w:shd w:val="clear" w:color="auto" w:fill="FFC1D4" w:themeFill="accent5" w:themeFillTint="33"/>
      </w:tcPr>
    </w:tblStylePr>
  </w:style>
  <w:style w:type="table" w:styleId="ListTable1Light-Accent6">
    <w:name w:val="List Table 1 Light Accent 6"/>
    <w:basedOn w:val="TableNormal"/>
    <w:uiPriority w:val="46"/>
    <w:semiHidden/>
    <w:rsid w:val="007D1864"/>
    <w:pPr>
      <w:spacing w:after="0"/>
    </w:pPr>
    <w:tblPr>
      <w:tblStyleRowBandSize w:val="1"/>
      <w:tblStyleColBandSize w:val="1"/>
    </w:tblPr>
    <w:tblStylePr w:type="firstRow">
      <w:rPr>
        <w:b/>
        <w:bCs/>
      </w:rPr>
      <w:tblPr/>
      <w:tcPr>
        <w:tcBorders>
          <w:bottom w:val="single" w:sz="4" w:space="0" w:color="C176BB" w:themeColor="accent6" w:themeTint="99"/>
        </w:tcBorders>
      </w:tcPr>
    </w:tblStylePr>
    <w:tblStylePr w:type="lastRow">
      <w:rPr>
        <w:b/>
        <w:bCs/>
      </w:rPr>
      <w:tblPr/>
      <w:tcPr>
        <w:tcBorders>
          <w:top w:val="single" w:sz="4" w:space="0" w:color="C176BB" w:themeColor="accent6" w:themeTint="99"/>
        </w:tcBorders>
      </w:tcPr>
    </w:tblStylePr>
    <w:tblStylePr w:type="firstCol">
      <w:rPr>
        <w:b/>
        <w:bCs/>
      </w:rPr>
    </w:tblStylePr>
    <w:tblStylePr w:type="lastCol">
      <w:rPr>
        <w:b/>
        <w:bCs/>
      </w:rPr>
    </w:tblStylePr>
    <w:tblStylePr w:type="band1Vert">
      <w:tblPr/>
      <w:tcPr>
        <w:shd w:val="clear" w:color="auto" w:fill="EAD1E8" w:themeFill="accent6" w:themeFillTint="33"/>
      </w:tcPr>
    </w:tblStylePr>
    <w:tblStylePr w:type="band1Horz">
      <w:tblPr/>
      <w:tcPr>
        <w:shd w:val="clear" w:color="auto" w:fill="EAD1E8" w:themeFill="accent6" w:themeFillTint="33"/>
      </w:tcPr>
    </w:tblStylePr>
  </w:style>
  <w:style w:type="table" w:styleId="ListTable2">
    <w:name w:val="List Table 2"/>
    <w:basedOn w:val="TableNormal"/>
    <w:uiPriority w:val="47"/>
    <w:semiHidden/>
    <w:rsid w:val="007D1864"/>
    <w:pPr>
      <w:spacing w:after="0"/>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semiHidden/>
    <w:rsid w:val="007D1864"/>
    <w:pPr>
      <w:spacing w:after="0"/>
    </w:pPr>
    <w:tblPr>
      <w:tblStyleRowBandSize w:val="1"/>
      <w:tblStyleColBandSize w:val="1"/>
      <w:tblBorders>
        <w:top w:val="single" w:sz="4" w:space="0" w:color="38BFFC" w:themeColor="accent1" w:themeTint="99"/>
        <w:bottom w:val="single" w:sz="4" w:space="0" w:color="38BFFC" w:themeColor="accent1" w:themeTint="99"/>
        <w:insideH w:val="single" w:sz="4" w:space="0" w:color="38BFFC"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E9FE" w:themeFill="accent1" w:themeFillTint="33"/>
      </w:tcPr>
    </w:tblStylePr>
    <w:tblStylePr w:type="band1Horz">
      <w:tblPr/>
      <w:tcPr>
        <w:shd w:val="clear" w:color="auto" w:fill="BCE9FE" w:themeFill="accent1" w:themeFillTint="33"/>
      </w:tcPr>
    </w:tblStylePr>
  </w:style>
  <w:style w:type="table" w:styleId="ListTable2-Accent2">
    <w:name w:val="List Table 2 Accent 2"/>
    <w:basedOn w:val="TableNormal"/>
    <w:uiPriority w:val="47"/>
    <w:semiHidden/>
    <w:rsid w:val="007D1864"/>
    <w:pPr>
      <w:spacing w:after="0"/>
    </w:pPr>
    <w:tblPr>
      <w:tblStyleRowBandSize w:val="1"/>
      <w:tblStyleColBandSize w:val="1"/>
      <w:tblBorders>
        <w:top w:val="single" w:sz="4" w:space="0" w:color="FDD373" w:themeColor="accent2" w:themeTint="99"/>
        <w:bottom w:val="single" w:sz="4" w:space="0" w:color="FDD373" w:themeColor="accent2" w:themeTint="99"/>
        <w:insideH w:val="single" w:sz="4" w:space="0" w:color="FDD37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EF0D0" w:themeFill="accent2" w:themeFillTint="33"/>
      </w:tcPr>
    </w:tblStylePr>
    <w:tblStylePr w:type="band1Horz">
      <w:tblPr/>
      <w:tcPr>
        <w:shd w:val="clear" w:color="auto" w:fill="FEF0D0" w:themeFill="accent2" w:themeFillTint="33"/>
      </w:tcPr>
    </w:tblStylePr>
  </w:style>
  <w:style w:type="table" w:styleId="ListTable2-Accent3">
    <w:name w:val="List Table 2 Accent 3"/>
    <w:basedOn w:val="TableNormal"/>
    <w:uiPriority w:val="47"/>
    <w:semiHidden/>
    <w:rsid w:val="007D1864"/>
    <w:pPr>
      <w:spacing w:after="0"/>
    </w:pPr>
    <w:tblPr>
      <w:tblStyleRowBandSize w:val="1"/>
      <w:tblStyleColBandSize w:val="1"/>
      <w:tblBorders>
        <w:top w:val="single" w:sz="4" w:space="0" w:color="A7D38C" w:themeColor="accent3" w:themeTint="99"/>
        <w:bottom w:val="single" w:sz="4" w:space="0" w:color="A7D38C" w:themeColor="accent3" w:themeTint="99"/>
        <w:insideH w:val="single" w:sz="4" w:space="0" w:color="A7D38C"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1F0D8" w:themeFill="accent3" w:themeFillTint="33"/>
      </w:tcPr>
    </w:tblStylePr>
    <w:tblStylePr w:type="band1Horz">
      <w:tblPr/>
      <w:tcPr>
        <w:shd w:val="clear" w:color="auto" w:fill="E1F0D8" w:themeFill="accent3" w:themeFillTint="33"/>
      </w:tcPr>
    </w:tblStylePr>
  </w:style>
  <w:style w:type="table" w:styleId="ListTable2-Accent4">
    <w:name w:val="List Table 2 Accent 4"/>
    <w:basedOn w:val="TableNormal"/>
    <w:uiPriority w:val="47"/>
    <w:semiHidden/>
    <w:rsid w:val="007D1864"/>
    <w:pPr>
      <w:spacing w:after="0"/>
    </w:pPr>
    <w:tblPr>
      <w:tblStyleRowBandSize w:val="1"/>
      <w:tblStyleColBandSize w:val="1"/>
      <w:tblBorders>
        <w:top w:val="single" w:sz="4" w:space="0" w:color="FFB266" w:themeColor="accent4" w:themeTint="99"/>
        <w:bottom w:val="single" w:sz="4" w:space="0" w:color="FFB266" w:themeColor="accent4" w:themeTint="99"/>
        <w:insideH w:val="single" w:sz="4" w:space="0" w:color="FFB2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5CC" w:themeFill="accent4" w:themeFillTint="33"/>
      </w:tcPr>
    </w:tblStylePr>
    <w:tblStylePr w:type="band1Horz">
      <w:tblPr/>
      <w:tcPr>
        <w:shd w:val="clear" w:color="auto" w:fill="FFE5CC" w:themeFill="accent4" w:themeFillTint="33"/>
      </w:tcPr>
    </w:tblStylePr>
  </w:style>
  <w:style w:type="table" w:styleId="ListTable2-Accent5">
    <w:name w:val="List Table 2 Accent 5"/>
    <w:basedOn w:val="TableNormal"/>
    <w:uiPriority w:val="47"/>
    <w:semiHidden/>
    <w:rsid w:val="007D1864"/>
    <w:pPr>
      <w:spacing w:after="0"/>
    </w:pPr>
    <w:tblPr>
      <w:tblStyleRowBandSize w:val="1"/>
      <w:tblStyleColBandSize w:val="1"/>
      <w:tblBorders>
        <w:top w:val="single" w:sz="4" w:space="0" w:color="FF477F" w:themeColor="accent5" w:themeTint="99"/>
        <w:bottom w:val="single" w:sz="4" w:space="0" w:color="FF477F" w:themeColor="accent5" w:themeTint="99"/>
        <w:insideH w:val="single" w:sz="4" w:space="0" w:color="FF477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1D4" w:themeFill="accent5" w:themeFillTint="33"/>
      </w:tcPr>
    </w:tblStylePr>
    <w:tblStylePr w:type="band1Horz">
      <w:tblPr/>
      <w:tcPr>
        <w:shd w:val="clear" w:color="auto" w:fill="FFC1D4" w:themeFill="accent5" w:themeFillTint="33"/>
      </w:tcPr>
    </w:tblStylePr>
  </w:style>
  <w:style w:type="table" w:styleId="ListTable2-Accent6">
    <w:name w:val="List Table 2 Accent 6"/>
    <w:basedOn w:val="TableNormal"/>
    <w:uiPriority w:val="47"/>
    <w:semiHidden/>
    <w:rsid w:val="007D1864"/>
    <w:pPr>
      <w:spacing w:after="0"/>
    </w:pPr>
    <w:tblPr>
      <w:tblStyleRowBandSize w:val="1"/>
      <w:tblStyleColBandSize w:val="1"/>
      <w:tblBorders>
        <w:top w:val="single" w:sz="4" w:space="0" w:color="C176BB" w:themeColor="accent6" w:themeTint="99"/>
        <w:bottom w:val="single" w:sz="4" w:space="0" w:color="C176BB" w:themeColor="accent6" w:themeTint="99"/>
        <w:insideH w:val="single" w:sz="4" w:space="0" w:color="C176BB"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D1E8" w:themeFill="accent6" w:themeFillTint="33"/>
      </w:tcPr>
    </w:tblStylePr>
    <w:tblStylePr w:type="band1Horz">
      <w:tblPr/>
      <w:tcPr>
        <w:shd w:val="clear" w:color="auto" w:fill="EAD1E8" w:themeFill="accent6" w:themeFillTint="33"/>
      </w:tcPr>
    </w:tblStylePr>
  </w:style>
  <w:style w:type="table" w:styleId="ListTable3">
    <w:name w:val="List Table 3"/>
    <w:basedOn w:val="TableNormal"/>
    <w:uiPriority w:val="48"/>
    <w:semiHidden/>
    <w:rsid w:val="007D1864"/>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semiHidden/>
    <w:rsid w:val="007D1864"/>
    <w:pPr>
      <w:spacing w:after="0"/>
    </w:pPr>
    <w:tblPr>
      <w:tblStyleRowBandSize w:val="1"/>
      <w:tblStyleColBandSize w:val="1"/>
      <w:tblBorders>
        <w:top w:val="single" w:sz="4" w:space="0" w:color="0278AD" w:themeColor="accent1"/>
        <w:left w:val="single" w:sz="4" w:space="0" w:color="0278AD" w:themeColor="accent1"/>
        <w:bottom w:val="single" w:sz="4" w:space="0" w:color="0278AD" w:themeColor="accent1"/>
        <w:right w:val="single" w:sz="4" w:space="0" w:color="0278AD" w:themeColor="accent1"/>
      </w:tblBorders>
    </w:tblPr>
    <w:tblStylePr w:type="firstRow">
      <w:rPr>
        <w:b/>
        <w:bCs/>
        <w:color w:val="FFFFFF" w:themeColor="background1"/>
      </w:rPr>
      <w:tblPr/>
      <w:tcPr>
        <w:shd w:val="clear" w:color="auto" w:fill="0278AD" w:themeFill="accent1"/>
      </w:tcPr>
    </w:tblStylePr>
    <w:tblStylePr w:type="lastRow">
      <w:rPr>
        <w:b/>
        <w:bCs/>
      </w:rPr>
      <w:tblPr/>
      <w:tcPr>
        <w:tcBorders>
          <w:top w:val="double" w:sz="4" w:space="0" w:color="0278A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278AD" w:themeColor="accent1"/>
          <w:right w:val="single" w:sz="4" w:space="0" w:color="0278AD" w:themeColor="accent1"/>
        </w:tcBorders>
      </w:tcPr>
    </w:tblStylePr>
    <w:tblStylePr w:type="band1Horz">
      <w:tblPr/>
      <w:tcPr>
        <w:tcBorders>
          <w:top w:val="single" w:sz="4" w:space="0" w:color="0278AD" w:themeColor="accent1"/>
          <w:bottom w:val="single" w:sz="4" w:space="0" w:color="0278A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278AD" w:themeColor="accent1"/>
          <w:left w:val="nil"/>
        </w:tcBorders>
      </w:tcPr>
    </w:tblStylePr>
    <w:tblStylePr w:type="swCell">
      <w:tblPr/>
      <w:tcPr>
        <w:tcBorders>
          <w:top w:val="double" w:sz="4" w:space="0" w:color="0278AD" w:themeColor="accent1"/>
          <w:right w:val="nil"/>
        </w:tcBorders>
      </w:tcPr>
    </w:tblStylePr>
  </w:style>
  <w:style w:type="table" w:styleId="ListTable3-Accent2">
    <w:name w:val="List Table 3 Accent 2"/>
    <w:basedOn w:val="TableNormal"/>
    <w:uiPriority w:val="48"/>
    <w:semiHidden/>
    <w:rsid w:val="007D1864"/>
    <w:pPr>
      <w:spacing w:after="0"/>
    </w:pPr>
    <w:tblPr>
      <w:tblStyleRowBandSize w:val="1"/>
      <w:tblStyleColBandSize w:val="1"/>
      <w:tblBorders>
        <w:top w:val="single" w:sz="4" w:space="0" w:color="FCB717" w:themeColor="accent2"/>
        <w:left w:val="single" w:sz="4" w:space="0" w:color="FCB717" w:themeColor="accent2"/>
        <w:bottom w:val="single" w:sz="4" w:space="0" w:color="FCB717" w:themeColor="accent2"/>
        <w:right w:val="single" w:sz="4" w:space="0" w:color="FCB717" w:themeColor="accent2"/>
      </w:tblBorders>
    </w:tblPr>
    <w:tblStylePr w:type="firstRow">
      <w:rPr>
        <w:b/>
        <w:bCs/>
        <w:color w:val="FFFFFF" w:themeColor="background1"/>
      </w:rPr>
      <w:tblPr/>
      <w:tcPr>
        <w:shd w:val="clear" w:color="auto" w:fill="FCB717" w:themeFill="accent2"/>
      </w:tcPr>
    </w:tblStylePr>
    <w:tblStylePr w:type="lastRow">
      <w:rPr>
        <w:b/>
        <w:bCs/>
      </w:rPr>
      <w:tblPr/>
      <w:tcPr>
        <w:tcBorders>
          <w:top w:val="double" w:sz="4" w:space="0" w:color="FCB717"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CB717" w:themeColor="accent2"/>
          <w:right w:val="single" w:sz="4" w:space="0" w:color="FCB717" w:themeColor="accent2"/>
        </w:tcBorders>
      </w:tcPr>
    </w:tblStylePr>
    <w:tblStylePr w:type="band1Horz">
      <w:tblPr/>
      <w:tcPr>
        <w:tcBorders>
          <w:top w:val="single" w:sz="4" w:space="0" w:color="FCB717" w:themeColor="accent2"/>
          <w:bottom w:val="single" w:sz="4" w:space="0" w:color="FCB717"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CB717" w:themeColor="accent2"/>
          <w:left w:val="nil"/>
        </w:tcBorders>
      </w:tcPr>
    </w:tblStylePr>
    <w:tblStylePr w:type="swCell">
      <w:tblPr/>
      <w:tcPr>
        <w:tcBorders>
          <w:top w:val="double" w:sz="4" w:space="0" w:color="FCB717" w:themeColor="accent2"/>
          <w:right w:val="nil"/>
        </w:tcBorders>
      </w:tcPr>
    </w:tblStylePr>
  </w:style>
  <w:style w:type="table" w:styleId="ListTable3-Accent3">
    <w:name w:val="List Table 3 Accent 3"/>
    <w:basedOn w:val="TableNormal"/>
    <w:uiPriority w:val="48"/>
    <w:semiHidden/>
    <w:rsid w:val="007D1864"/>
    <w:pPr>
      <w:spacing w:after="0"/>
    </w:pPr>
    <w:tblPr>
      <w:tblStyleRowBandSize w:val="1"/>
      <w:tblStyleColBandSize w:val="1"/>
      <w:tblBorders>
        <w:top w:val="single" w:sz="4" w:space="0" w:color="6EB444" w:themeColor="accent3"/>
        <w:left w:val="single" w:sz="4" w:space="0" w:color="6EB444" w:themeColor="accent3"/>
        <w:bottom w:val="single" w:sz="4" w:space="0" w:color="6EB444" w:themeColor="accent3"/>
        <w:right w:val="single" w:sz="4" w:space="0" w:color="6EB444" w:themeColor="accent3"/>
      </w:tblBorders>
    </w:tblPr>
    <w:tblStylePr w:type="firstRow">
      <w:rPr>
        <w:b/>
        <w:bCs/>
        <w:color w:val="FFFFFF" w:themeColor="background1"/>
      </w:rPr>
      <w:tblPr/>
      <w:tcPr>
        <w:shd w:val="clear" w:color="auto" w:fill="6EB444" w:themeFill="accent3"/>
      </w:tcPr>
    </w:tblStylePr>
    <w:tblStylePr w:type="lastRow">
      <w:rPr>
        <w:b/>
        <w:bCs/>
      </w:rPr>
      <w:tblPr/>
      <w:tcPr>
        <w:tcBorders>
          <w:top w:val="double" w:sz="4" w:space="0" w:color="6EB444"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EB444" w:themeColor="accent3"/>
          <w:right w:val="single" w:sz="4" w:space="0" w:color="6EB444" w:themeColor="accent3"/>
        </w:tcBorders>
      </w:tcPr>
    </w:tblStylePr>
    <w:tblStylePr w:type="band1Horz">
      <w:tblPr/>
      <w:tcPr>
        <w:tcBorders>
          <w:top w:val="single" w:sz="4" w:space="0" w:color="6EB444" w:themeColor="accent3"/>
          <w:bottom w:val="single" w:sz="4" w:space="0" w:color="6EB444"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EB444" w:themeColor="accent3"/>
          <w:left w:val="nil"/>
        </w:tcBorders>
      </w:tcPr>
    </w:tblStylePr>
    <w:tblStylePr w:type="swCell">
      <w:tblPr/>
      <w:tcPr>
        <w:tcBorders>
          <w:top w:val="double" w:sz="4" w:space="0" w:color="6EB444" w:themeColor="accent3"/>
          <w:right w:val="nil"/>
        </w:tcBorders>
      </w:tcPr>
    </w:tblStylePr>
  </w:style>
  <w:style w:type="table" w:styleId="ListTable3-Accent4">
    <w:name w:val="List Table 3 Accent 4"/>
    <w:basedOn w:val="TableNormal"/>
    <w:uiPriority w:val="48"/>
    <w:semiHidden/>
    <w:rsid w:val="007D1864"/>
    <w:pPr>
      <w:spacing w:after="0"/>
    </w:pPr>
    <w:tblPr>
      <w:tblStyleRowBandSize w:val="1"/>
      <w:tblStyleColBandSize w:val="1"/>
      <w:tblBorders>
        <w:top w:val="single" w:sz="4" w:space="0" w:color="FF8000" w:themeColor="accent4"/>
        <w:left w:val="single" w:sz="4" w:space="0" w:color="FF8000" w:themeColor="accent4"/>
        <w:bottom w:val="single" w:sz="4" w:space="0" w:color="FF8000" w:themeColor="accent4"/>
        <w:right w:val="single" w:sz="4" w:space="0" w:color="FF8000" w:themeColor="accent4"/>
      </w:tblBorders>
    </w:tblPr>
    <w:tblStylePr w:type="firstRow">
      <w:rPr>
        <w:b/>
        <w:bCs/>
        <w:color w:val="FFFFFF" w:themeColor="background1"/>
      </w:rPr>
      <w:tblPr/>
      <w:tcPr>
        <w:shd w:val="clear" w:color="auto" w:fill="FF8000" w:themeFill="accent4"/>
      </w:tcPr>
    </w:tblStylePr>
    <w:tblStylePr w:type="lastRow">
      <w:rPr>
        <w:b/>
        <w:bCs/>
      </w:rPr>
      <w:tblPr/>
      <w:tcPr>
        <w:tcBorders>
          <w:top w:val="double" w:sz="4" w:space="0" w:color="FF8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8000" w:themeColor="accent4"/>
          <w:right w:val="single" w:sz="4" w:space="0" w:color="FF8000" w:themeColor="accent4"/>
        </w:tcBorders>
      </w:tcPr>
    </w:tblStylePr>
    <w:tblStylePr w:type="band1Horz">
      <w:tblPr/>
      <w:tcPr>
        <w:tcBorders>
          <w:top w:val="single" w:sz="4" w:space="0" w:color="FF8000" w:themeColor="accent4"/>
          <w:bottom w:val="single" w:sz="4" w:space="0" w:color="FF8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8000" w:themeColor="accent4"/>
          <w:left w:val="nil"/>
        </w:tcBorders>
      </w:tcPr>
    </w:tblStylePr>
    <w:tblStylePr w:type="swCell">
      <w:tblPr/>
      <w:tcPr>
        <w:tcBorders>
          <w:top w:val="double" w:sz="4" w:space="0" w:color="FF8000" w:themeColor="accent4"/>
          <w:right w:val="nil"/>
        </w:tcBorders>
      </w:tcPr>
    </w:tblStylePr>
  </w:style>
  <w:style w:type="table" w:styleId="ListTable3-Accent5">
    <w:name w:val="List Table 3 Accent 5"/>
    <w:basedOn w:val="TableNormal"/>
    <w:uiPriority w:val="48"/>
    <w:semiHidden/>
    <w:rsid w:val="007D1864"/>
    <w:pPr>
      <w:spacing w:after="0"/>
    </w:pPr>
    <w:tblPr>
      <w:tblStyleRowBandSize w:val="1"/>
      <w:tblStyleColBandSize w:val="1"/>
      <w:tblBorders>
        <w:top w:val="single" w:sz="4" w:space="0" w:color="CC003F" w:themeColor="accent5"/>
        <w:left w:val="single" w:sz="4" w:space="0" w:color="CC003F" w:themeColor="accent5"/>
        <w:bottom w:val="single" w:sz="4" w:space="0" w:color="CC003F" w:themeColor="accent5"/>
        <w:right w:val="single" w:sz="4" w:space="0" w:color="CC003F" w:themeColor="accent5"/>
      </w:tblBorders>
    </w:tblPr>
    <w:tblStylePr w:type="firstRow">
      <w:rPr>
        <w:b/>
        <w:bCs/>
        <w:color w:val="FFFFFF" w:themeColor="background1"/>
      </w:rPr>
      <w:tblPr/>
      <w:tcPr>
        <w:shd w:val="clear" w:color="auto" w:fill="CC003F" w:themeFill="accent5"/>
      </w:tcPr>
    </w:tblStylePr>
    <w:tblStylePr w:type="lastRow">
      <w:rPr>
        <w:b/>
        <w:bCs/>
      </w:rPr>
      <w:tblPr/>
      <w:tcPr>
        <w:tcBorders>
          <w:top w:val="double" w:sz="4" w:space="0" w:color="CC003F"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C003F" w:themeColor="accent5"/>
          <w:right w:val="single" w:sz="4" w:space="0" w:color="CC003F" w:themeColor="accent5"/>
        </w:tcBorders>
      </w:tcPr>
    </w:tblStylePr>
    <w:tblStylePr w:type="band1Horz">
      <w:tblPr/>
      <w:tcPr>
        <w:tcBorders>
          <w:top w:val="single" w:sz="4" w:space="0" w:color="CC003F" w:themeColor="accent5"/>
          <w:bottom w:val="single" w:sz="4" w:space="0" w:color="CC003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C003F" w:themeColor="accent5"/>
          <w:left w:val="nil"/>
        </w:tcBorders>
      </w:tcPr>
    </w:tblStylePr>
    <w:tblStylePr w:type="swCell">
      <w:tblPr/>
      <w:tcPr>
        <w:tcBorders>
          <w:top w:val="double" w:sz="4" w:space="0" w:color="CC003F" w:themeColor="accent5"/>
          <w:right w:val="nil"/>
        </w:tcBorders>
      </w:tcPr>
    </w:tblStylePr>
  </w:style>
  <w:style w:type="table" w:styleId="ListTable3-Accent6">
    <w:name w:val="List Table 3 Accent 6"/>
    <w:basedOn w:val="TableNormal"/>
    <w:uiPriority w:val="48"/>
    <w:semiHidden/>
    <w:rsid w:val="007D1864"/>
    <w:pPr>
      <w:spacing w:after="0"/>
    </w:pPr>
    <w:tblPr>
      <w:tblStyleRowBandSize w:val="1"/>
      <w:tblStyleColBandSize w:val="1"/>
      <w:tblBorders>
        <w:top w:val="single" w:sz="4" w:space="0" w:color="7C3877" w:themeColor="accent6"/>
        <w:left w:val="single" w:sz="4" w:space="0" w:color="7C3877" w:themeColor="accent6"/>
        <w:bottom w:val="single" w:sz="4" w:space="0" w:color="7C3877" w:themeColor="accent6"/>
        <w:right w:val="single" w:sz="4" w:space="0" w:color="7C3877" w:themeColor="accent6"/>
      </w:tblBorders>
    </w:tblPr>
    <w:tblStylePr w:type="firstRow">
      <w:rPr>
        <w:b/>
        <w:bCs/>
        <w:color w:val="FFFFFF" w:themeColor="background1"/>
      </w:rPr>
      <w:tblPr/>
      <w:tcPr>
        <w:shd w:val="clear" w:color="auto" w:fill="7C3877" w:themeFill="accent6"/>
      </w:tcPr>
    </w:tblStylePr>
    <w:tblStylePr w:type="lastRow">
      <w:rPr>
        <w:b/>
        <w:bCs/>
      </w:rPr>
      <w:tblPr/>
      <w:tcPr>
        <w:tcBorders>
          <w:top w:val="double" w:sz="4" w:space="0" w:color="7C387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C3877" w:themeColor="accent6"/>
          <w:right w:val="single" w:sz="4" w:space="0" w:color="7C3877" w:themeColor="accent6"/>
        </w:tcBorders>
      </w:tcPr>
    </w:tblStylePr>
    <w:tblStylePr w:type="band1Horz">
      <w:tblPr/>
      <w:tcPr>
        <w:tcBorders>
          <w:top w:val="single" w:sz="4" w:space="0" w:color="7C3877" w:themeColor="accent6"/>
          <w:bottom w:val="single" w:sz="4" w:space="0" w:color="7C387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C3877" w:themeColor="accent6"/>
          <w:left w:val="nil"/>
        </w:tcBorders>
      </w:tcPr>
    </w:tblStylePr>
    <w:tblStylePr w:type="swCell">
      <w:tblPr/>
      <w:tcPr>
        <w:tcBorders>
          <w:top w:val="double" w:sz="4" w:space="0" w:color="7C3877" w:themeColor="accent6"/>
          <w:right w:val="nil"/>
        </w:tcBorders>
      </w:tcPr>
    </w:tblStylePr>
  </w:style>
  <w:style w:type="table" w:styleId="ListTable4">
    <w:name w:val="List Table 4"/>
    <w:basedOn w:val="TableNormal"/>
    <w:uiPriority w:val="49"/>
    <w:semiHidden/>
    <w:rsid w:val="007D1864"/>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semiHidden/>
    <w:rsid w:val="007D1864"/>
    <w:pPr>
      <w:spacing w:after="0"/>
    </w:pPr>
    <w:tblPr>
      <w:tblStyleRowBandSize w:val="1"/>
      <w:tblStyleColBandSize w:val="1"/>
      <w:tblBorders>
        <w:top w:val="single" w:sz="4" w:space="0" w:color="38BFFC" w:themeColor="accent1" w:themeTint="99"/>
        <w:left w:val="single" w:sz="4" w:space="0" w:color="38BFFC" w:themeColor="accent1" w:themeTint="99"/>
        <w:bottom w:val="single" w:sz="4" w:space="0" w:color="38BFFC" w:themeColor="accent1" w:themeTint="99"/>
        <w:right w:val="single" w:sz="4" w:space="0" w:color="38BFFC" w:themeColor="accent1" w:themeTint="99"/>
        <w:insideH w:val="single" w:sz="4" w:space="0" w:color="38BFFC" w:themeColor="accent1" w:themeTint="99"/>
      </w:tblBorders>
    </w:tblPr>
    <w:tblStylePr w:type="firstRow">
      <w:rPr>
        <w:b/>
        <w:bCs/>
        <w:color w:val="FFFFFF" w:themeColor="background1"/>
      </w:rPr>
      <w:tblPr/>
      <w:tcPr>
        <w:tcBorders>
          <w:top w:val="single" w:sz="4" w:space="0" w:color="0278AD" w:themeColor="accent1"/>
          <w:left w:val="single" w:sz="4" w:space="0" w:color="0278AD" w:themeColor="accent1"/>
          <w:bottom w:val="single" w:sz="4" w:space="0" w:color="0278AD" w:themeColor="accent1"/>
          <w:right w:val="single" w:sz="4" w:space="0" w:color="0278AD" w:themeColor="accent1"/>
          <w:insideH w:val="nil"/>
        </w:tcBorders>
        <w:shd w:val="clear" w:color="auto" w:fill="0278AD" w:themeFill="accent1"/>
      </w:tcPr>
    </w:tblStylePr>
    <w:tblStylePr w:type="lastRow">
      <w:rPr>
        <w:b/>
        <w:bCs/>
      </w:rPr>
      <w:tblPr/>
      <w:tcPr>
        <w:tcBorders>
          <w:top w:val="double" w:sz="4" w:space="0" w:color="38BFFC" w:themeColor="accent1" w:themeTint="99"/>
        </w:tcBorders>
      </w:tcPr>
    </w:tblStylePr>
    <w:tblStylePr w:type="firstCol">
      <w:rPr>
        <w:b/>
        <w:bCs/>
      </w:rPr>
    </w:tblStylePr>
    <w:tblStylePr w:type="lastCol">
      <w:rPr>
        <w:b/>
        <w:bCs/>
      </w:rPr>
    </w:tblStylePr>
    <w:tblStylePr w:type="band1Vert">
      <w:tblPr/>
      <w:tcPr>
        <w:shd w:val="clear" w:color="auto" w:fill="BCE9FE" w:themeFill="accent1" w:themeFillTint="33"/>
      </w:tcPr>
    </w:tblStylePr>
    <w:tblStylePr w:type="band1Horz">
      <w:tblPr/>
      <w:tcPr>
        <w:shd w:val="clear" w:color="auto" w:fill="BCE9FE" w:themeFill="accent1" w:themeFillTint="33"/>
      </w:tcPr>
    </w:tblStylePr>
  </w:style>
  <w:style w:type="table" w:styleId="ListTable4-Accent2">
    <w:name w:val="List Table 4 Accent 2"/>
    <w:basedOn w:val="TableNormal"/>
    <w:uiPriority w:val="49"/>
    <w:semiHidden/>
    <w:rsid w:val="007D1864"/>
    <w:pPr>
      <w:spacing w:after="0"/>
    </w:pPr>
    <w:tblPr>
      <w:tblStyleRowBandSize w:val="1"/>
      <w:tblStyleColBandSize w:val="1"/>
      <w:tblBorders>
        <w:top w:val="single" w:sz="4" w:space="0" w:color="FDD373" w:themeColor="accent2" w:themeTint="99"/>
        <w:left w:val="single" w:sz="4" w:space="0" w:color="FDD373" w:themeColor="accent2" w:themeTint="99"/>
        <w:bottom w:val="single" w:sz="4" w:space="0" w:color="FDD373" w:themeColor="accent2" w:themeTint="99"/>
        <w:right w:val="single" w:sz="4" w:space="0" w:color="FDD373" w:themeColor="accent2" w:themeTint="99"/>
        <w:insideH w:val="single" w:sz="4" w:space="0" w:color="FDD373" w:themeColor="accent2" w:themeTint="99"/>
      </w:tblBorders>
    </w:tblPr>
    <w:tblStylePr w:type="firstRow">
      <w:rPr>
        <w:b/>
        <w:bCs/>
        <w:color w:val="FFFFFF" w:themeColor="background1"/>
      </w:rPr>
      <w:tblPr/>
      <w:tcPr>
        <w:tcBorders>
          <w:top w:val="single" w:sz="4" w:space="0" w:color="FCB717" w:themeColor="accent2"/>
          <w:left w:val="single" w:sz="4" w:space="0" w:color="FCB717" w:themeColor="accent2"/>
          <w:bottom w:val="single" w:sz="4" w:space="0" w:color="FCB717" w:themeColor="accent2"/>
          <w:right w:val="single" w:sz="4" w:space="0" w:color="FCB717" w:themeColor="accent2"/>
          <w:insideH w:val="nil"/>
        </w:tcBorders>
        <w:shd w:val="clear" w:color="auto" w:fill="FCB717" w:themeFill="accent2"/>
      </w:tcPr>
    </w:tblStylePr>
    <w:tblStylePr w:type="lastRow">
      <w:rPr>
        <w:b/>
        <w:bCs/>
      </w:rPr>
      <w:tblPr/>
      <w:tcPr>
        <w:tcBorders>
          <w:top w:val="double" w:sz="4" w:space="0" w:color="FDD373" w:themeColor="accent2" w:themeTint="99"/>
        </w:tcBorders>
      </w:tcPr>
    </w:tblStylePr>
    <w:tblStylePr w:type="firstCol">
      <w:rPr>
        <w:b/>
        <w:bCs/>
      </w:rPr>
    </w:tblStylePr>
    <w:tblStylePr w:type="lastCol">
      <w:rPr>
        <w:b/>
        <w:bCs/>
      </w:rPr>
    </w:tblStylePr>
    <w:tblStylePr w:type="band1Vert">
      <w:tblPr/>
      <w:tcPr>
        <w:shd w:val="clear" w:color="auto" w:fill="FEF0D0" w:themeFill="accent2" w:themeFillTint="33"/>
      </w:tcPr>
    </w:tblStylePr>
    <w:tblStylePr w:type="band1Horz">
      <w:tblPr/>
      <w:tcPr>
        <w:shd w:val="clear" w:color="auto" w:fill="FEF0D0" w:themeFill="accent2" w:themeFillTint="33"/>
      </w:tcPr>
    </w:tblStylePr>
  </w:style>
  <w:style w:type="table" w:styleId="ListTable4-Accent3">
    <w:name w:val="List Table 4 Accent 3"/>
    <w:basedOn w:val="TableNormal"/>
    <w:uiPriority w:val="49"/>
    <w:semiHidden/>
    <w:rsid w:val="007D1864"/>
    <w:pPr>
      <w:spacing w:after="0"/>
    </w:pPr>
    <w:tblPr>
      <w:tblStyleRowBandSize w:val="1"/>
      <w:tblStyleColBandSize w:val="1"/>
      <w:tblBorders>
        <w:top w:val="single" w:sz="4" w:space="0" w:color="A7D38C" w:themeColor="accent3" w:themeTint="99"/>
        <w:left w:val="single" w:sz="4" w:space="0" w:color="A7D38C" w:themeColor="accent3" w:themeTint="99"/>
        <w:bottom w:val="single" w:sz="4" w:space="0" w:color="A7D38C" w:themeColor="accent3" w:themeTint="99"/>
        <w:right w:val="single" w:sz="4" w:space="0" w:color="A7D38C" w:themeColor="accent3" w:themeTint="99"/>
        <w:insideH w:val="single" w:sz="4" w:space="0" w:color="A7D38C" w:themeColor="accent3" w:themeTint="99"/>
      </w:tblBorders>
    </w:tblPr>
    <w:tblStylePr w:type="firstRow">
      <w:rPr>
        <w:b/>
        <w:bCs/>
        <w:color w:val="FFFFFF" w:themeColor="background1"/>
      </w:rPr>
      <w:tblPr/>
      <w:tcPr>
        <w:tcBorders>
          <w:top w:val="single" w:sz="4" w:space="0" w:color="6EB444" w:themeColor="accent3"/>
          <w:left w:val="single" w:sz="4" w:space="0" w:color="6EB444" w:themeColor="accent3"/>
          <w:bottom w:val="single" w:sz="4" w:space="0" w:color="6EB444" w:themeColor="accent3"/>
          <w:right w:val="single" w:sz="4" w:space="0" w:color="6EB444" w:themeColor="accent3"/>
          <w:insideH w:val="nil"/>
        </w:tcBorders>
        <w:shd w:val="clear" w:color="auto" w:fill="6EB444" w:themeFill="accent3"/>
      </w:tcPr>
    </w:tblStylePr>
    <w:tblStylePr w:type="lastRow">
      <w:rPr>
        <w:b/>
        <w:bCs/>
      </w:rPr>
      <w:tblPr/>
      <w:tcPr>
        <w:tcBorders>
          <w:top w:val="double" w:sz="4" w:space="0" w:color="A7D38C" w:themeColor="accent3" w:themeTint="99"/>
        </w:tcBorders>
      </w:tcPr>
    </w:tblStylePr>
    <w:tblStylePr w:type="firstCol">
      <w:rPr>
        <w:b/>
        <w:bCs/>
      </w:rPr>
    </w:tblStylePr>
    <w:tblStylePr w:type="lastCol">
      <w:rPr>
        <w:b/>
        <w:bCs/>
      </w:rPr>
    </w:tblStylePr>
    <w:tblStylePr w:type="band1Vert">
      <w:tblPr/>
      <w:tcPr>
        <w:shd w:val="clear" w:color="auto" w:fill="E1F0D8" w:themeFill="accent3" w:themeFillTint="33"/>
      </w:tcPr>
    </w:tblStylePr>
    <w:tblStylePr w:type="band1Horz">
      <w:tblPr/>
      <w:tcPr>
        <w:shd w:val="clear" w:color="auto" w:fill="E1F0D8" w:themeFill="accent3" w:themeFillTint="33"/>
      </w:tcPr>
    </w:tblStylePr>
  </w:style>
  <w:style w:type="table" w:styleId="ListTable4-Accent4">
    <w:name w:val="List Table 4 Accent 4"/>
    <w:basedOn w:val="TableNormal"/>
    <w:uiPriority w:val="49"/>
    <w:semiHidden/>
    <w:rsid w:val="007D1864"/>
    <w:pPr>
      <w:spacing w:after="0"/>
    </w:pPr>
    <w:tblPr>
      <w:tblStyleRowBandSize w:val="1"/>
      <w:tblStyleColBandSize w:val="1"/>
      <w:tblBorders>
        <w:top w:val="single" w:sz="4" w:space="0" w:color="FFB266" w:themeColor="accent4" w:themeTint="99"/>
        <w:left w:val="single" w:sz="4" w:space="0" w:color="FFB266" w:themeColor="accent4" w:themeTint="99"/>
        <w:bottom w:val="single" w:sz="4" w:space="0" w:color="FFB266" w:themeColor="accent4" w:themeTint="99"/>
        <w:right w:val="single" w:sz="4" w:space="0" w:color="FFB266" w:themeColor="accent4" w:themeTint="99"/>
        <w:insideH w:val="single" w:sz="4" w:space="0" w:color="FFB266" w:themeColor="accent4" w:themeTint="99"/>
      </w:tblBorders>
    </w:tblPr>
    <w:tblStylePr w:type="firstRow">
      <w:rPr>
        <w:b/>
        <w:bCs/>
        <w:color w:val="FFFFFF" w:themeColor="background1"/>
      </w:rPr>
      <w:tblPr/>
      <w:tcPr>
        <w:tcBorders>
          <w:top w:val="single" w:sz="4" w:space="0" w:color="FF8000" w:themeColor="accent4"/>
          <w:left w:val="single" w:sz="4" w:space="0" w:color="FF8000" w:themeColor="accent4"/>
          <w:bottom w:val="single" w:sz="4" w:space="0" w:color="FF8000" w:themeColor="accent4"/>
          <w:right w:val="single" w:sz="4" w:space="0" w:color="FF8000" w:themeColor="accent4"/>
          <w:insideH w:val="nil"/>
        </w:tcBorders>
        <w:shd w:val="clear" w:color="auto" w:fill="FF8000" w:themeFill="accent4"/>
      </w:tcPr>
    </w:tblStylePr>
    <w:tblStylePr w:type="lastRow">
      <w:rPr>
        <w:b/>
        <w:bCs/>
      </w:rPr>
      <w:tblPr/>
      <w:tcPr>
        <w:tcBorders>
          <w:top w:val="double" w:sz="4" w:space="0" w:color="FFB266" w:themeColor="accent4" w:themeTint="99"/>
        </w:tcBorders>
      </w:tcPr>
    </w:tblStylePr>
    <w:tblStylePr w:type="firstCol">
      <w:rPr>
        <w:b/>
        <w:bCs/>
      </w:rPr>
    </w:tblStylePr>
    <w:tblStylePr w:type="lastCol">
      <w:rPr>
        <w:b/>
        <w:bCs/>
      </w:rPr>
    </w:tblStylePr>
    <w:tblStylePr w:type="band1Vert">
      <w:tblPr/>
      <w:tcPr>
        <w:shd w:val="clear" w:color="auto" w:fill="FFE5CC" w:themeFill="accent4" w:themeFillTint="33"/>
      </w:tcPr>
    </w:tblStylePr>
    <w:tblStylePr w:type="band1Horz">
      <w:tblPr/>
      <w:tcPr>
        <w:shd w:val="clear" w:color="auto" w:fill="FFE5CC" w:themeFill="accent4" w:themeFillTint="33"/>
      </w:tcPr>
    </w:tblStylePr>
  </w:style>
  <w:style w:type="table" w:styleId="ListTable4-Accent5">
    <w:name w:val="List Table 4 Accent 5"/>
    <w:basedOn w:val="TableNormal"/>
    <w:uiPriority w:val="49"/>
    <w:semiHidden/>
    <w:rsid w:val="007D1864"/>
    <w:pPr>
      <w:spacing w:after="0"/>
    </w:pPr>
    <w:tblPr>
      <w:tblStyleRowBandSize w:val="1"/>
      <w:tblStyleColBandSize w:val="1"/>
      <w:tblBorders>
        <w:top w:val="single" w:sz="4" w:space="0" w:color="FF477F" w:themeColor="accent5" w:themeTint="99"/>
        <w:left w:val="single" w:sz="4" w:space="0" w:color="FF477F" w:themeColor="accent5" w:themeTint="99"/>
        <w:bottom w:val="single" w:sz="4" w:space="0" w:color="FF477F" w:themeColor="accent5" w:themeTint="99"/>
        <w:right w:val="single" w:sz="4" w:space="0" w:color="FF477F" w:themeColor="accent5" w:themeTint="99"/>
        <w:insideH w:val="single" w:sz="4" w:space="0" w:color="FF477F" w:themeColor="accent5" w:themeTint="99"/>
      </w:tblBorders>
    </w:tblPr>
    <w:tblStylePr w:type="firstRow">
      <w:rPr>
        <w:b/>
        <w:bCs/>
        <w:color w:val="FFFFFF" w:themeColor="background1"/>
      </w:rPr>
      <w:tblPr/>
      <w:tcPr>
        <w:tcBorders>
          <w:top w:val="single" w:sz="4" w:space="0" w:color="CC003F" w:themeColor="accent5"/>
          <w:left w:val="single" w:sz="4" w:space="0" w:color="CC003F" w:themeColor="accent5"/>
          <w:bottom w:val="single" w:sz="4" w:space="0" w:color="CC003F" w:themeColor="accent5"/>
          <w:right w:val="single" w:sz="4" w:space="0" w:color="CC003F" w:themeColor="accent5"/>
          <w:insideH w:val="nil"/>
        </w:tcBorders>
        <w:shd w:val="clear" w:color="auto" w:fill="CC003F" w:themeFill="accent5"/>
      </w:tcPr>
    </w:tblStylePr>
    <w:tblStylePr w:type="lastRow">
      <w:rPr>
        <w:b/>
        <w:bCs/>
      </w:rPr>
      <w:tblPr/>
      <w:tcPr>
        <w:tcBorders>
          <w:top w:val="double" w:sz="4" w:space="0" w:color="FF477F" w:themeColor="accent5" w:themeTint="99"/>
        </w:tcBorders>
      </w:tcPr>
    </w:tblStylePr>
    <w:tblStylePr w:type="firstCol">
      <w:rPr>
        <w:b/>
        <w:bCs/>
      </w:rPr>
    </w:tblStylePr>
    <w:tblStylePr w:type="lastCol">
      <w:rPr>
        <w:b/>
        <w:bCs/>
      </w:rPr>
    </w:tblStylePr>
    <w:tblStylePr w:type="band1Vert">
      <w:tblPr/>
      <w:tcPr>
        <w:shd w:val="clear" w:color="auto" w:fill="FFC1D4" w:themeFill="accent5" w:themeFillTint="33"/>
      </w:tcPr>
    </w:tblStylePr>
    <w:tblStylePr w:type="band1Horz">
      <w:tblPr/>
      <w:tcPr>
        <w:shd w:val="clear" w:color="auto" w:fill="FFC1D4" w:themeFill="accent5" w:themeFillTint="33"/>
      </w:tcPr>
    </w:tblStylePr>
  </w:style>
  <w:style w:type="table" w:styleId="ListTable4-Accent6">
    <w:name w:val="List Table 4 Accent 6"/>
    <w:basedOn w:val="TableNormal"/>
    <w:uiPriority w:val="49"/>
    <w:semiHidden/>
    <w:rsid w:val="007D1864"/>
    <w:pPr>
      <w:spacing w:after="0"/>
    </w:pPr>
    <w:tblPr>
      <w:tblStyleRowBandSize w:val="1"/>
      <w:tblStyleColBandSize w:val="1"/>
      <w:tblBorders>
        <w:top w:val="single" w:sz="4" w:space="0" w:color="C176BB" w:themeColor="accent6" w:themeTint="99"/>
        <w:left w:val="single" w:sz="4" w:space="0" w:color="C176BB" w:themeColor="accent6" w:themeTint="99"/>
        <w:bottom w:val="single" w:sz="4" w:space="0" w:color="C176BB" w:themeColor="accent6" w:themeTint="99"/>
        <w:right w:val="single" w:sz="4" w:space="0" w:color="C176BB" w:themeColor="accent6" w:themeTint="99"/>
        <w:insideH w:val="single" w:sz="4" w:space="0" w:color="C176BB" w:themeColor="accent6" w:themeTint="99"/>
      </w:tblBorders>
    </w:tblPr>
    <w:tblStylePr w:type="firstRow">
      <w:rPr>
        <w:b/>
        <w:bCs/>
        <w:color w:val="FFFFFF" w:themeColor="background1"/>
      </w:rPr>
      <w:tblPr/>
      <w:tcPr>
        <w:tcBorders>
          <w:top w:val="single" w:sz="4" w:space="0" w:color="7C3877" w:themeColor="accent6"/>
          <w:left w:val="single" w:sz="4" w:space="0" w:color="7C3877" w:themeColor="accent6"/>
          <w:bottom w:val="single" w:sz="4" w:space="0" w:color="7C3877" w:themeColor="accent6"/>
          <w:right w:val="single" w:sz="4" w:space="0" w:color="7C3877" w:themeColor="accent6"/>
          <w:insideH w:val="nil"/>
        </w:tcBorders>
        <w:shd w:val="clear" w:color="auto" w:fill="7C3877" w:themeFill="accent6"/>
      </w:tcPr>
    </w:tblStylePr>
    <w:tblStylePr w:type="lastRow">
      <w:rPr>
        <w:b/>
        <w:bCs/>
      </w:rPr>
      <w:tblPr/>
      <w:tcPr>
        <w:tcBorders>
          <w:top w:val="double" w:sz="4" w:space="0" w:color="C176BB" w:themeColor="accent6" w:themeTint="99"/>
        </w:tcBorders>
      </w:tcPr>
    </w:tblStylePr>
    <w:tblStylePr w:type="firstCol">
      <w:rPr>
        <w:b/>
        <w:bCs/>
      </w:rPr>
    </w:tblStylePr>
    <w:tblStylePr w:type="lastCol">
      <w:rPr>
        <w:b/>
        <w:bCs/>
      </w:rPr>
    </w:tblStylePr>
    <w:tblStylePr w:type="band1Vert">
      <w:tblPr/>
      <w:tcPr>
        <w:shd w:val="clear" w:color="auto" w:fill="EAD1E8" w:themeFill="accent6" w:themeFillTint="33"/>
      </w:tcPr>
    </w:tblStylePr>
    <w:tblStylePr w:type="band1Horz">
      <w:tblPr/>
      <w:tcPr>
        <w:shd w:val="clear" w:color="auto" w:fill="EAD1E8" w:themeFill="accent6" w:themeFillTint="33"/>
      </w:tcPr>
    </w:tblStylePr>
  </w:style>
  <w:style w:type="table" w:styleId="ListTable5Dark">
    <w:name w:val="List Table 5 Dark"/>
    <w:basedOn w:val="TableNormal"/>
    <w:uiPriority w:val="50"/>
    <w:semiHidden/>
    <w:rsid w:val="007D1864"/>
    <w:pPr>
      <w:spacing w:after="0"/>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7D1864"/>
    <w:pPr>
      <w:spacing w:after="0"/>
    </w:pPr>
    <w:rPr>
      <w:color w:val="FFFFFF" w:themeColor="background1"/>
    </w:rPr>
    <w:tblPr>
      <w:tblStyleRowBandSize w:val="1"/>
      <w:tblStyleColBandSize w:val="1"/>
      <w:tblBorders>
        <w:top w:val="single" w:sz="24" w:space="0" w:color="0278AD" w:themeColor="accent1"/>
        <w:left w:val="single" w:sz="24" w:space="0" w:color="0278AD" w:themeColor="accent1"/>
        <w:bottom w:val="single" w:sz="24" w:space="0" w:color="0278AD" w:themeColor="accent1"/>
        <w:right w:val="single" w:sz="24" w:space="0" w:color="0278AD" w:themeColor="accent1"/>
      </w:tblBorders>
    </w:tblPr>
    <w:tcPr>
      <w:shd w:val="clear" w:color="auto" w:fill="0278AD"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7D1864"/>
    <w:pPr>
      <w:spacing w:after="0"/>
    </w:pPr>
    <w:rPr>
      <w:color w:val="FFFFFF" w:themeColor="background1"/>
    </w:rPr>
    <w:tblPr>
      <w:tblStyleRowBandSize w:val="1"/>
      <w:tblStyleColBandSize w:val="1"/>
      <w:tblBorders>
        <w:top w:val="single" w:sz="24" w:space="0" w:color="FCB717" w:themeColor="accent2"/>
        <w:left w:val="single" w:sz="24" w:space="0" w:color="FCB717" w:themeColor="accent2"/>
        <w:bottom w:val="single" w:sz="24" w:space="0" w:color="FCB717" w:themeColor="accent2"/>
        <w:right w:val="single" w:sz="24" w:space="0" w:color="FCB717" w:themeColor="accent2"/>
      </w:tblBorders>
    </w:tblPr>
    <w:tcPr>
      <w:shd w:val="clear" w:color="auto" w:fill="FCB717"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7D1864"/>
    <w:pPr>
      <w:spacing w:after="0"/>
    </w:pPr>
    <w:rPr>
      <w:color w:val="FFFFFF" w:themeColor="background1"/>
    </w:rPr>
    <w:tblPr>
      <w:tblStyleRowBandSize w:val="1"/>
      <w:tblStyleColBandSize w:val="1"/>
      <w:tblBorders>
        <w:top w:val="single" w:sz="24" w:space="0" w:color="6EB444" w:themeColor="accent3"/>
        <w:left w:val="single" w:sz="24" w:space="0" w:color="6EB444" w:themeColor="accent3"/>
        <w:bottom w:val="single" w:sz="24" w:space="0" w:color="6EB444" w:themeColor="accent3"/>
        <w:right w:val="single" w:sz="24" w:space="0" w:color="6EB444" w:themeColor="accent3"/>
      </w:tblBorders>
    </w:tblPr>
    <w:tcPr>
      <w:shd w:val="clear" w:color="auto" w:fill="6EB44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7D1864"/>
    <w:pPr>
      <w:spacing w:after="0"/>
    </w:pPr>
    <w:rPr>
      <w:color w:val="FFFFFF" w:themeColor="background1"/>
    </w:rPr>
    <w:tblPr>
      <w:tblStyleRowBandSize w:val="1"/>
      <w:tblStyleColBandSize w:val="1"/>
      <w:tblBorders>
        <w:top w:val="single" w:sz="24" w:space="0" w:color="FF8000" w:themeColor="accent4"/>
        <w:left w:val="single" w:sz="24" w:space="0" w:color="FF8000" w:themeColor="accent4"/>
        <w:bottom w:val="single" w:sz="24" w:space="0" w:color="FF8000" w:themeColor="accent4"/>
        <w:right w:val="single" w:sz="24" w:space="0" w:color="FF8000" w:themeColor="accent4"/>
      </w:tblBorders>
    </w:tblPr>
    <w:tcPr>
      <w:shd w:val="clear" w:color="auto" w:fill="FF8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7D1864"/>
    <w:pPr>
      <w:spacing w:after="0"/>
    </w:pPr>
    <w:rPr>
      <w:color w:val="FFFFFF" w:themeColor="background1"/>
    </w:rPr>
    <w:tblPr>
      <w:tblStyleRowBandSize w:val="1"/>
      <w:tblStyleColBandSize w:val="1"/>
      <w:tblBorders>
        <w:top w:val="single" w:sz="24" w:space="0" w:color="CC003F" w:themeColor="accent5"/>
        <w:left w:val="single" w:sz="24" w:space="0" w:color="CC003F" w:themeColor="accent5"/>
        <w:bottom w:val="single" w:sz="24" w:space="0" w:color="CC003F" w:themeColor="accent5"/>
        <w:right w:val="single" w:sz="24" w:space="0" w:color="CC003F" w:themeColor="accent5"/>
      </w:tblBorders>
    </w:tblPr>
    <w:tcPr>
      <w:shd w:val="clear" w:color="auto" w:fill="CC003F"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7D1864"/>
    <w:pPr>
      <w:spacing w:after="0"/>
    </w:pPr>
    <w:rPr>
      <w:color w:val="FFFFFF" w:themeColor="background1"/>
    </w:rPr>
    <w:tblPr>
      <w:tblStyleRowBandSize w:val="1"/>
      <w:tblStyleColBandSize w:val="1"/>
      <w:tblBorders>
        <w:top w:val="single" w:sz="24" w:space="0" w:color="7C3877" w:themeColor="accent6"/>
        <w:left w:val="single" w:sz="24" w:space="0" w:color="7C3877" w:themeColor="accent6"/>
        <w:bottom w:val="single" w:sz="24" w:space="0" w:color="7C3877" w:themeColor="accent6"/>
        <w:right w:val="single" w:sz="24" w:space="0" w:color="7C3877" w:themeColor="accent6"/>
      </w:tblBorders>
    </w:tblPr>
    <w:tcPr>
      <w:shd w:val="clear" w:color="auto" w:fill="7C387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7D1864"/>
    <w:pPr>
      <w:spacing w:after="0"/>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semiHidden/>
    <w:rsid w:val="007D1864"/>
    <w:pPr>
      <w:spacing w:after="0"/>
    </w:pPr>
    <w:rPr>
      <w:color w:val="015981" w:themeColor="accent1" w:themeShade="BF"/>
    </w:rPr>
    <w:tblPr>
      <w:tblStyleRowBandSize w:val="1"/>
      <w:tblStyleColBandSize w:val="1"/>
      <w:tblBorders>
        <w:top w:val="single" w:sz="4" w:space="0" w:color="0278AD" w:themeColor="accent1"/>
        <w:bottom w:val="single" w:sz="4" w:space="0" w:color="0278AD" w:themeColor="accent1"/>
      </w:tblBorders>
    </w:tblPr>
    <w:tblStylePr w:type="firstRow">
      <w:rPr>
        <w:b/>
        <w:bCs/>
      </w:rPr>
      <w:tblPr/>
      <w:tcPr>
        <w:tcBorders>
          <w:bottom w:val="single" w:sz="4" w:space="0" w:color="0278AD" w:themeColor="accent1"/>
        </w:tcBorders>
      </w:tcPr>
    </w:tblStylePr>
    <w:tblStylePr w:type="lastRow">
      <w:rPr>
        <w:b/>
        <w:bCs/>
      </w:rPr>
      <w:tblPr/>
      <w:tcPr>
        <w:tcBorders>
          <w:top w:val="double" w:sz="4" w:space="0" w:color="0278AD" w:themeColor="accent1"/>
        </w:tcBorders>
      </w:tcPr>
    </w:tblStylePr>
    <w:tblStylePr w:type="firstCol">
      <w:rPr>
        <w:b/>
        <w:bCs/>
      </w:rPr>
    </w:tblStylePr>
    <w:tblStylePr w:type="lastCol">
      <w:rPr>
        <w:b/>
        <w:bCs/>
      </w:rPr>
    </w:tblStylePr>
    <w:tblStylePr w:type="band1Vert">
      <w:tblPr/>
      <w:tcPr>
        <w:shd w:val="clear" w:color="auto" w:fill="BCE9FE" w:themeFill="accent1" w:themeFillTint="33"/>
      </w:tcPr>
    </w:tblStylePr>
    <w:tblStylePr w:type="band1Horz">
      <w:tblPr/>
      <w:tcPr>
        <w:shd w:val="clear" w:color="auto" w:fill="BCE9FE" w:themeFill="accent1" w:themeFillTint="33"/>
      </w:tcPr>
    </w:tblStylePr>
  </w:style>
  <w:style w:type="table" w:styleId="ListTable6Colorful-Accent2">
    <w:name w:val="List Table 6 Colorful Accent 2"/>
    <w:basedOn w:val="TableNormal"/>
    <w:uiPriority w:val="51"/>
    <w:semiHidden/>
    <w:rsid w:val="007D1864"/>
    <w:pPr>
      <w:spacing w:after="0"/>
    </w:pPr>
    <w:rPr>
      <w:color w:val="CA8E02" w:themeColor="accent2" w:themeShade="BF"/>
    </w:rPr>
    <w:tblPr>
      <w:tblStyleRowBandSize w:val="1"/>
      <w:tblStyleColBandSize w:val="1"/>
      <w:tblBorders>
        <w:top w:val="single" w:sz="4" w:space="0" w:color="FCB717" w:themeColor="accent2"/>
        <w:bottom w:val="single" w:sz="4" w:space="0" w:color="FCB717" w:themeColor="accent2"/>
      </w:tblBorders>
    </w:tblPr>
    <w:tblStylePr w:type="firstRow">
      <w:rPr>
        <w:b/>
        <w:bCs/>
      </w:rPr>
      <w:tblPr/>
      <w:tcPr>
        <w:tcBorders>
          <w:bottom w:val="single" w:sz="4" w:space="0" w:color="FCB717" w:themeColor="accent2"/>
        </w:tcBorders>
      </w:tcPr>
    </w:tblStylePr>
    <w:tblStylePr w:type="lastRow">
      <w:rPr>
        <w:b/>
        <w:bCs/>
      </w:rPr>
      <w:tblPr/>
      <w:tcPr>
        <w:tcBorders>
          <w:top w:val="double" w:sz="4" w:space="0" w:color="FCB717" w:themeColor="accent2"/>
        </w:tcBorders>
      </w:tcPr>
    </w:tblStylePr>
    <w:tblStylePr w:type="firstCol">
      <w:rPr>
        <w:b/>
        <w:bCs/>
      </w:rPr>
    </w:tblStylePr>
    <w:tblStylePr w:type="lastCol">
      <w:rPr>
        <w:b/>
        <w:bCs/>
      </w:rPr>
    </w:tblStylePr>
    <w:tblStylePr w:type="band1Vert">
      <w:tblPr/>
      <w:tcPr>
        <w:shd w:val="clear" w:color="auto" w:fill="FEF0D0" w:themeFill="accent2" w:themeFillTint="33"/>
      </w:tcPr>
    </w:tblStylePr>
    <w:tblStylePr w:type="band1Horz">
      <w:tblPr/>
      <w:tcPr>
        <w:shd w:val="clear" w:color="auto" w:fill="FEF0D0" w:themeFill="accent2" w:themeFillTint="33"/>
      </w:tcPr>
    </w:tblStylePr>
  </w:style>
  <w:style w:type="table" w:styleId="ListTable6Colorful-Accent3">
    <w:name w:val="List Table 6 Colorful Accent 3"/>
    <w:basedOn w:val="TableNormal"/>
    <w:uiPriority w:val="51"/>
    <w:semiHidden/>
    <w:rsid w:val="007D1864"/>
    <w:pPr>
      <w:spacing w:after="0"/>
    </w:pPr>
    <w:rPr>
      <w:color w:val="528633" w:themeColor="accent3" w:themeShade="BF"/>
    </w:rPr>
    <w:tblPr>
      <w:tblStyleRowBandSize w:val="1"/>
      <w:tblStyleColBandSize w:val="1"/>
      <w:tblBorders>
        <w:top w:val="single" w:sz="4" w:space="0" w:color="6EB444" w:themeColor="accent3"/>
        <w:bottom w:val="single" w:sz="4" w:space="0" w:color="6EB444" w:themeColor="accent3"/>
      </w:tblBorders>
    </w:tblPr>
    <w:tblStylePr w:type="firstRow">
      <w:rPr>
        <w:b/>
        <w:bCs/>
      </w:rPr>
      <w:tblPr/>
      <w:tcPr>
        <w:tcBorders>
          <w:bottom w:val="single" w:sz="4" w:space="0" w:color="6EB444" w:themeColor="accent3"/>
        </w:tcBorders>
      </w:tcPr>
    </w:tblStylePr>
    <w:tblStylePr w:type="lastRow">
      <w:rPr>
        <w:b/>
        <w:bCs/>
      </w:rPr>
      <w:tblPr/>
      <w:tcPr>
        <w:tcBorders>
          <w:top w:val="double" w:sz="4" w:space="0" w:color="6EB444" w:themeColor="accent3"/>
        </w:tcBorders>
      </w:tcPr>
    </w:tblStylePr>
    <w:tblStylePr w:type="firstCol">
      <w:rPr>
        <w:b/>
        <w:bCs/>
      </w:rPr>
    </w:tblStylePr>
    <w:tblStylePr w:type="lastCol">
      <w:rPr>
        <w:b/>
        <w:bCs/>
      </w:rPr>
    </w:tblStylePr>
    <w:tblStylePr w:type="band1Vert">
      <w:tblPr/>
      <w:tcPr>
        <w:shd w:val="clear" w:color="auto" w:fill="E1F0D8" w:themeFill="accent3" w:themeFillTint="33"/>
      </w:tcPr>
    </w:tblStylePr>
    <w:tblStylePr w:type="band1Horz">
      <w:tblPr/>
      <w:tcPr>
        <w:shd w:val="clear" w:color="auto" w:fill="E1F0D8" w:themeFill="accent3" w:themeFillTint="33"/>
      </w:tcPr>
    </w:tblStylePr>
  </w:style>
  <w:style w:type="table" w:styleId="ListTable6Colorful-Accent4">
    <w:name w:val="List Table 6 Colorful Accent 4"/>
    <w:basedOn w:val="TableNormal"/>
    <w:uiPriority w:val="51"/>
    <w:semiHidden/>
    <w:rsid w:val="007D1864"/>
    <w:pPr>
      <w:spacing w:after="0"/>
    </w:pPr>
    <w:rPr>
      <w:color w:val="BF5F00" w:themeColor="accent4" w:themeShade="BF"/>
    </w:rPr>
    <w:tblPr>
      <w:tblStyleRowBandSize w:val="1"/>
      <w:tblStyleColBandSize w:val="1"/>
      <w:tblBorders>
        <w:top w:val="single" w:sz="4" w:space="0" w:color="FF8000" w:themeColor="accent4"/>
        <w:bottom w:val="single" w:sz="4" w:space="0" w:color="FF8000" w:themeColor="accent4"/>
      </w:tblBorders>
    </w:tblPr>
    <w:tblStylePr w:type="firstRow">
      <w:rPr>
        <w:b/>
        <w:bCs/>
      </w:rPr>
      <w:tblPr/>
      <w:tcPr>
        <w:tcBorders>
          <w:bottom w:val="single" w:sz="4" w:space="0" w:color="FF8000" w:themeColor="accent4"/>
        </w:tcBorders>
      </w:tcPr>
    </w:tblStylePr>
    <w:tblStylePr w:type="lastRow">
      <w:rPr>
        <w:b/>
        <w:bCs/>
      </w:rPr>
      <w:tblPr/>
      <w:tcPr>
        <w:tcBorders>
          <w:top w:val="double" w:sz="4" w:space="0" w:color="FF8000" w:themeColor="accent4"/>
        </w:tcBorders>
      </w:tcPr>
    </w:tblStylePr>
    <w:tblStylePr w:type="firstCol">
      <w:rPr>
        <w:b/>
        <w:bCs/>
      </w:rPr>
    </w:tblStylePr>
    <w:tblStylePr w:type="lastCol">
      <w:rPr>
        <w:b/>
        <w:bCs/>
      </w:rPr>
    </w:tblStylePr>
    <w:tblStylePr w:type="band1Vert">
      <w:tblPr/>
      <w:tcPr>
        <w:shd w:val="clear" w:color="auto" w:fill="FFE5CC" w:themeFill="accent4" w:themeFillTint="33"/>
      </w:tcPr>
    </w:tblStylePr>
    <w:tblStylePr w:type="band1Horz">
      <w:tblPr/>
      <w:tcPr>
        <w:shd w:val="clear" w:color="auto" w:fill="FFE5CC" w:themeFill="accent4" w:themeFillTint="33"/>
      </w:tcPr>
    </w:tblStylePr>
  </w:style>
  <w:style w:type="table" w:styleId="ListTable6Colorful-Accent5">
    <w:name w:val="List Table 6 Colorful Accent 5"/>
    <w:basedOn w:val="TableNormal"/>
    <w:uiPriority w:val="51"/>
    <w:semiHidden/>
    <w:rsid w:val="007D1864"/>
    <w:pPr>
      <w:spacing w:after="0"/>
    </w:pPr>
    <w:rPr>
      <w:color w:val="98002E" w:themeColor="accent5" w:themeShade="BF"/>
    </w:rPr>
    <w:tblPr>
      <w:tblStyleRowBandSize w:val="1"/>
      <w:tblStyleColBandSize w:val="1"/>
      <w:tblBorders>
        <w:top w:val="single" w:sz="4" w:space="0" w:color="CC003F" w:themeColor="accent5"/>
        <w:bottom w:val="single" w:sz="4" w:space="0" w:color="CC003F" w:themeColor="accent5"/>
      </w:tblBorders>
    </w:tblPr>
    <w:tblStylePr w:type="firstRow">
      <w:rPr>
        <w:b/>
        <w:bCs/>
      </w:rPr>
      <w:tblPr/>
      <w:tcPr>
        <w:tcBorders>
          <w:bottom w:val="single" w:sz="4" w:space="0" w:color="CC003F" w:themeColor="accent5"/>
        </w:tcBorders>
      </w:tcPr>
    </w:tblStylePr>
    <w:tblStylePr w:type="lastRow">
      <w:rPr>
        <w:b/>
        <w:bCs/>
      </w:rPr>
      <w:tblPr/>
      <w:tcPr>
        <w:tcBorders>
          <w:top w:val="double" w:sz="4" w:space="0" w:color="CC003F" w:themeColor="accent5"/>
        </w:tcBorders>
      </w:tcPr>
    </w:tblStylePr>
    <w:tblStylePr w:type="firstCol">
      <w:rPr>
        <w:b/>
        <w:bCs/>
      </w:rPr>
    </w:tblStylePr>
    <w:tblStylePr w:type="lastCol">
      <w:rPr>
        <w:b/>
        <w:bCs/>
      </w:rPr>
    </w:tblStylePr>
    <w:tblStylePr w:type="band1Vert">
      <w:tblPr/>
      <w:tcPr>
        <w:shd w:val="clear" w:color="auto" w:fill="FFC1D4" w:themeFill="accent5" w:themeFillTint="33"/>
      </w:tcPr>
    </w:tblStylePr>
    <w:tblStylePr w:type="band1Horz">
      <w:tblPr/>
      <w:tcPr>
        <w:shd w:val="clear" w:color="auto" w:fill="FFC1D4" w:themeFill="accent5" w:themeFillTint="33"/>
      </w:tcPr>
    </w:tblStylePr>
  </w:style>
  <w:style w:type="table" w:styleId="ListTable6Colorful-Accent6">
    <w:name w:val="List Table 6 Colorful Accent 6"/>
    <w:basedOn w:val="TableNormal"/>
    <w:uiPriority w:val="51"/>
    <w:semiHidden/>
    <w:rsid w:val="007D1864"/>
    <w:pPr>
      <w:spacing w:after="0"/>
    </w:pPr>
    <w:rPr>
      <w:color w:val="5C2A58" w:themeColor="accent6" w:themeShade="BF"/>
    </w:rPr>
    <w:tblPr>
      <w:tblStyleRowBandSize w:val="1"/>
      <w:tblStyleColBandSize w:val="1"/>
      <w:tblBorders>
        <w:top w:val="single" w:sz="4" w:space="0" w:color="7C3877" w:themeColor="accent6"/>
        <w:bottom w:val="single" w:sz="4" w:space="0" w:color="7C3877" w:themeColor="accent6"/>
      </w:tblBorders>
    </w:tblPr>
    <w:tblStylePr w:type="firstRow">
      <w:rPr>
        <w:b/>
        <w:bCs/>
      </w:rPr>
      <w:tblPr/>
      <w:tcPr>
        <w:tcBorders>
          <w:bottom w:val="single" w:sz="4" w:space="0" w:color="7C3877" w:themeColor="accent6"/>
        </w:tcBorders>
      </w:tcPr>
    </w:tblStylePr>
    <w:tblStylePr w:type="lastRow">
      <w:rPr>
        <w:b/>
        <w:bCs/>
      </w:rPr>
      <w:tblPr/>
      <w:tcPr>
        <w:tcBorders>
          <w:top w:val="double" w:sz="4" w:space="0" w:color="7C3877" w:themeColor="accent6"/>
        </w:tcBorders>
      </w:tcPr>
    </w:tblStylePr>
    <w:tblStylePr w:type="firstCol">
      <w:rPr>
        <w:b/>
        <w:bCs/>
      </w:rPr>
    </w:tblStylePr>
    <w:tblStylePr w:type="lastCol">
      <w:rPr>
        <w:b/>
        <w:bCs/>
      </w:rPr>
    </w:tblStylePr>
    <w:tblStylePr w:type="band1Vert">
      <w:tblPr/>
      <w:tcPr>
        <w:shd w:val="clear" w:color="auto" w:fill="EAD1E8" w:themeFill="accent6" w:themeFillTint="33"/>
      </w:tcPr>
    </w:tblStylePr>
    <w:tblStylePr w:type="band1Horz">
      <w:tblPr/>
      <w:tcPr>
        <w:shd w:val="clear" w:color="auto" w:fill="EAD1E8" w:themeFill="accent6" w:themeFillTint="33"/>
      </w:tcPr>
    </w:tblStylePr>
  </w:style>
  <w:style w:type="table" w:styleId="ListTable7Colorful">
    <w:name w:val="List Table 7 Colorful"/>
    <w:basedOn w:val="TableNormal"/>
    <w:uiPriority w:val="52"/>
    <w:semiHidden/>
    <w:rsid w:val="007D1864"/>
    <w:pPr>
      <w:spacing w:after="0"/>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7D1864"/>
    <w:pPr>
      <w:spacing w:after="0"/>
    </w:pPr>
    <w:rPr>
      <w:color w:val="01598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278A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278A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278A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278AD" w:themeColor="accent1"/>
        </w:tcBorders>
        <w:shd w:val="clear" w:color="auto" w:fill="FFFFFF" w:themeFill="background1"/>
      </w:tcPr>
    </w:tblStylePr>
    <w:tblStylePr w:type="band1Vert">
      <w:tblPr/>
      <w:tcPr>
        <w:shd w:val="clear" w:color="auto" w:fill="BCE9FE" w:themeFill="accent1" w:themeFillTint="33"/>
      </w:tcPr>
    </w:tblStylePr>
    <w:tblStylePr w:type="band1Horz">
      <w:tblPr/>
      <w:tcPr>
        <w:shd w:val="clear" w:color="auto" w:fill="BCE9FE"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7D1864"/>
    <w:pPr>
      <w:spacing w:after="0"/>
    </w:pPr>
    <w:rPr>
      <w:color w:val="CA8E0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CB717"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CB717"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CB717"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CB717" w:themeColor="accent2"/>
        </w:tcBorders>
        <w:shd w:val="clear" w:color="auto" w:fill="FFFFFF" w:themeFill="background1"/>
      </w:tcPr>
    </w:tblStylePr>
    <w:tblStylePr w:type="band1Vert">
      <w:tblPr/>
      <w:tcPr>
        <w:shd w:val="clear" w:color="auto" w:fill="FEF0D0" w:themeFill="accent2" w:themeFillTint="33"/>
      </w:tcPr>
    </w:tblStylePr>
    <w:tblStylePr w:type="band1Horz">
      <w:tblPr/>
      <w:tcPr>
        <w:shd w:val="clear" w:color="auto" w:fill="FEF0D0"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7D1864"/>
    <w:pPr>
      <w:spacing w:after="0"/>
    </w:pPr>
    <w:rPr>
      <w:color w:val="528633"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EB444"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EB444"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EB444"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EB444" w:themeColor="accent3"/>
        </w:tcBorders>
        <w:shd w:val="clear" w:color="auto" w:fill="FFFFFF" w:themeFill="background1"/>
      </w:tcPr>
    </w:tblStylePr>
    <w:tblStylePr w:type="band1Vert">
      <w:tblPr/>
      <w:tcPr>
        <w:shd w:val="clear" w:color="auto" w:fill="E1F0D8" w:themeFill="accent3" w:themeFillTint="33"/>
      </w:tcPr>
    </w:tblStylePr>
    <w:tblStylePr w:type="band1Horz">
      <w:tblPr/>
      <w:tcPr>
        <w:shd w:val="clear" w:color="auto" w:fill="E1F0D8"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7D1864"/>
    <w:pPr>
      <w:spacing w:after="0"/>
    </w:pPr>
    <w:rPr>
      <w:color w:val="BF5F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8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8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8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8000" w:themeColor="accent4"/>
        </w:tcBorders>
        <w:shd w:val="clear" w:color="auto" w:fill="FFFFFF" w:themeFill="background1"/>
      </w:tcPr>
    </w:tblStylePr>
    <w:tblStylePr w:type="band1Vert">
      <w:tblPr/>
      <w:tcPr>
        <w:shd w:val="clear" w:color="auto" w:fill="FFE5CC" w:themeFill="accent4" w:themeFillTint="33"/>
      </w:tcPr>
    </w:tblStylePr>
    <w:tblStylePr w:type="band1Horz">
      <w:tblPr/>
      <w:tcPr>
        <w:shd w:val="clear" w:color="auto" w:fill="FFE5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7D1864"/>
    <w:pPr>
      <w:spacing w:after="0"/>
    </w:pPr>
    <w:rPr>
      <w:color w:val="98002E"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C003F"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C003F"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C003F"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C003F" w:themeColor="accent5"/>
        </w:tcBorders>
        <w:shd w:val="clear" w:color="auto" w:fill="FFFFFF" w:themeFill="background1"/>
      </w:tcPr>
    </w:tblStylePr>
    <w:tblStylePr w:type="band1Vert">
      <w:tblPr/>
      <w:tcPr>
        <w:shd w:val="clear" w:color="auto" w:fill="FFC1D4" w:themeFill="accent5" w:themeFillTint="33"/>
      </w:tcPr>
    </w:tblStylePr>
    <w:tblStylePr w:type="band1Horz">
      <w:tblPr/>
      <w:tcPr>
        <w:shd w:val="clear" w:color="auto" w:fill="FFC1D4"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7D1864"/>
    <w:pPr>
      <w:spacing w:after="0"/>
    </w:pPr>
    <w:rPr>
      <w:color w:val="5C2A58"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C387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C387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C387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C3877" w:themeColor="accent6"/>
        </w:tcBorders>
        <w:shd w:val="clear" w:color="auto" w:fill="FFFFFF" w:themeFill="background1"/>
      </w:tcPr>
    </w:tblStylePr>
    <w:tblStylePr w:type="band1Vert">
      <w:tblPr/>
      <w:tcPr>
        <w:shd w:val="clear" w:color="auto" w:fill="EAD1E8" w:themeFill="accent6" w:themeFillTint="33"/>
      </w:tcPr>
    </w:tblStylePr>
    <w:tblStylePr w:type="band1Horz">
      <w:tblPr/>
      <w:tcPr>
        <w:shd w:val="clear" w:color="auto" w:fill="EAD1E8"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unhideWhenUsed/>
    <w:rsid w:val="007D1864"/>
    <w:pPr>
      <w:spacing w:before="0"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7D1864"/>
    <w:pPr>
      <w:spacing w:before="0" w:after="0"/>
    </w:pPr>
    <w:tblPr>
      <w:tblStyleRowBandSize w:val="1"/>
      <w:tblStyleColBandSize w:val="1"/>
      <w:tblBorders>
        <w:top w:val="single" w:sz="8" w:space="0" w:color="06AFFC" w:themeColor="accent1" w:themeTint="BF"/>
        <w:left w:val="single" w:sz="8" w:space="0" w:color="06AFFC" w:themeColor="accent1" w:themeTint="BF"/>
        <w:bottom w:val="single" w:sz="8" w:space="0" w:color="06AFFC" w:themeColor="accent1" w:themeTint="BF"/>
        <w:right w:val="single" w:sz="8" w:space="0" w:color="06AFFC" w:themeColor="accent1" w:themeTint="BF"/>
        <w:insideH w:val="single" w:sz="8" w:space="0" w:color="06AFFC" w:themeColor="accent1" w:themeTint="BF"/>
        <w:insideV w:val="single" w:sz="8" w:space="0" w:color="06AFFC" w:themeColor="accent1" w:themeTint="BF"/>
      </w:tblBorders>
    </w:tblPr>
    <w:tcPr>
      <w:shd w:val="clear" w:color="auto" w:fill="ACE4FE" w:themeFill="accent1" w:themeFillTint="3F"/>
    </w:tcPr>
    <w:tblStylePr w:type="firstRow">
      <w:rPr>
        <w:b/>
        <w:bCs/>
      </w:rPr>
    </w:tblStylePr>
    <w:tblStylePr w:type="lastRow">
      <w:rPr>
        <w:b/>
        <w:bCs/>
      </w:rPr>
      <w:tblPr/>
      <w:tcPr>
        <w:tcBorders>
          <w:top w:val="single" w:sz="18" w:space="0" w:color="06AFFC" w:themeColor="accent1" w:themeTint="BF"/>
        </w:tcBorders>
      </w:tcPr>
    </w:tblStylePr>
    <w:tblStylePr w:type="firstCol">
      <w:rPr>
        <w:b/>
        <w:bCs/>
      </w:rPr>
    </w:tblStylePr>
    <w:tblStylePr w:type="lastCol">
      <w:rPr>
        <w:b/>
        <w:bCs/>
      </w:rPr>
    </w:tblStylePr>
    <w:tblStylePr w:type="band1Vert">
      <w:tblPr/>
      <w:tcPr>
        <w:shd w:val="clear" w:color="auto" w:fill="59C9FD" w:themeFill="accent1" w:themeFillTint="7F"/>
      </w:tcPr>
    </w:tblStylePr>
    <w:tblStylePr w:type="band1Horz">
      <w:tblPr/>
      <w:tcPr>
        <w:shd w:val="clear" w:color="auto" w:fill="59C9FD" w:themeFill="accent1" w:themeFillTint="7F"/>
      </w:tcPr>
    </w:tblStylePr>
  </w:style>
  <w:style w:type="table" w:styleId="MediumGrid1-Accent2">
    <w:name w:val="Medium Grid 1 Accent 2"/>
    <w:basedOn w:val="TableNormal"/>
    <w:uiPriority w:val="67"/>
    <w:semiHidden/>
    <w:unhideWhenUsed/>
    <w:rsid w:val="007D1864"/>
    <w:pPr>
      <w:spacing w:before="0" w:after="0"/>
    </w:pPr>
    <w:tblPr>
      <w:tblStyleRowBandSize w:val="1"/>
      <w:tblStyleColBandSize w:val="1"/>
      <w:tblBorders>
        <w:top w:val="single" w:sz="8" w:space="0" w:color="FCC850" w:themeColor="accent2" w:themeTint="BF"/>
        <w:left w:val="single" w:sz="8" w:space="0" w:color="FCC850" w:themeColor="accent2" w:themeTint="BF"/>
        <w:bottom w:val="single" w:sz="8" w:space="0" w:color="FCC850" w:themeColor="accent2" w:themeTint="BF"/>
        <w:right w:val="single" w:sz="8" w:space="0" w:color="FCC850" w:themeColor="accent2" w:themeTint="BF"/>
        <w:insideH w:val="single" w:sz="8" w:space="0" w:color="FCC850" w:themeColor="accent2" w:themeTint="BF"/>
        <w:insideV w:val="single" w:sz="8" w:space="0" w:color="FCC850" w:themeColor="accent2" w:themeTint="BF"/>
      </w:tblBorders>
    </w:tblPr>
    <w:tcPr>
      <w:shd w:val="clear" w:color="auto" w:fill="FEEDC5" w:themeFill="accent2" w:themeFillTint="3F"/>
    </w:tcPr>
    <w:tblStylePr w:type="firstRow">
      <w:rPr>
        <w:b/>
        <w:bCs/>
      </w:rPr>
    </w:tblStylePr>
    <w:tblStylePr w:type="lastRow">
      <w:rPr>
        <w:b/>
        <w:bCs/>
      </w:rPr>
      <w:tblPr/>
      <w:tcPr>
        <w:tcBorders>
          <w:top w:val="single" w:sz="18" w:space="0" w:color="FCC850" w:themeColor="accent2" w:themeTint="BF"/>
        </w:tcBorders>
      </w:tcPr>
    </w:tblStylePr>
    <w:tblStylePr w:type="firstCol">
      <w:rPr>
        <w:b/>
        <w:bCs/>
      </w:rPr>
    </w:tblStylePr>
    <w:tblStylePr w:type="lastCol">
      <w:rPr>
        <w:b/>
        <w:bCs/>
      </w:rPr>
    </w:tblStylePr>
    <w:tblStylePr w:type="band1Vert">
      <w:tblPr/>
      <w:tcPr>
        <w:shd w:val="clear" w:color="auto" w:fill="FDDA8B" w:themeFill="accent2" w:themeFillTint="7F"/>
      </w:tcPr>
    </w:tblStylePr>
    <w:tblStylePr w:type="band1Horz">
      <w:tblPr/>
      <w:tcPr>
        <w:shd w:val="clear" w:color="auto" w:fill="FDDA8B" w:themeFill="accent2" w:themeFillTint="7F"/>
      </w:tcPr>
    </w:tblStylePr>
  </w:style>
  <w:style w:type="table" w:styleId="MediumGrid1-Accent3">
    <w:name w:val="Medium Grid 1 Accent 3"/>
    <w:basedOn w:val="TableNormal"/>
    <w:uiPriority w:val="67"/>
    <w:semiHidden/>
    <w:unhideWhenUsed/>
    <w:rsid w:val="007D1864"/>
    <w:pPr>
      <w:spacing w:before="0" w:after="0"/>
    </w:pPr>
    <w:tblPr>
      <w:tblStyleRowBandSize w:val="1"/>
      <w:tblStyleColBandSize w:val="1"/>
      <w:tblBorders>
        <w:top w:val="single" w:sz="8" w:space="0" w:color="91C970" w:themeColor="accent3" w:themeTint="BF"/>
        <w:left w:val="single" w:sz="8" w:space="0" w:color="91C970" w:themeColor="accent3" w:themeTint="BF"/>
        <w:bottom w:val="single" w:sz="8" w:space="0" w:color="91C970" w:themeColor="accent3" w:themeTint="BF"/>
        <w:right w:val="single" w:sz="8" w:space="0" w:color="91C970" w:themeColor="accent3" w:themeTint="BF"/>
        <w:insideH w:val="single" w:sz="8" w:space="0" w:color="91C970" w:themeColor="accent3" w:themeTint="BF"/>
        <w:insideV w:val="single" w:sz="8" w:space="0" w:color="91C970" w:themeColor="accent3" w:themeTint="BF"/>
      </w:tblBorders>
    </w:tblPr>
    <w:tcPr>
      <w:shd w:val="clear" w:color="auto" w:fill="DAEDCF" w:themeFill="accent3" w:themeFillTint="3F"/>
    </w:tcPr>
    <w:tblStylePr w:type="firstRow">
      <w:rPr>
        <w:b/>
        <w:bCs/>
      </w:rPr>
    </w:tblStylePr>
    <w:tblStylePr w:type="lastRow">
      <w:rPr>
        <w:b/>
        <w:bCs/>
      </w:rPr>
      <w:tblPr/>
      <w:tcPr>
        <w:tcBorders>
          <w:top w:val="single" w:sz="18" w:space="0" w:color="91C970" w:themeColor="accent3" w:themeTint="BF"/>
        </w:tcBorders>
      </w:tcPr>
    </w:tblStylePr>
    <w:tblStylePr w:type="firstCol">
      <w:rPr>
        <w:b/>
        <w:bCs/>
      </w:rPr>
    </w:tblStylePr>
    <w:tblStylePr w:type="lastCol">
      <w:rPr>
        <w:b/>
        <w:bCs/>
      </w:rPr>
    </w:tblStylePr>
    <w:tblStylePr w:type="band1Vert">
      <w:tblPr/>
      <w:tcPr>
        <w:shd w:val="clear" w:color="auto" w:fill="B6DBA0" w:themeFill="accent3" w:themeFillTint="7F"/>
      </w:tcPr>
    </w:tblStylePr>
    <w:tblStylePr w:type="band1Horz">
      <w:tblPr/>
      <w:tcPr>
        <w:shd w:val="clear" w:color="auto" w:fill="B6DBA0" w:themeFill="accent3" w:themeFillTint="7F"/>
      </w:tcPr>
    </w:tblStylePr>
  </w:style>
  <w:style w:type="table" w:styleId="MediumGrid1-Accent4">
    <w:name w:val="Medium Grid 1 Accent 4"/>
    <w:basedOn w:val="TableNormal"/>
    <w:uiPriority w:val="67"/>
    <w:semiHidden/>
    <w:unhideWhenUsed/>
    <w:rsid w:val="007D1864"/>
    <w:pPr>
      <w:spacing w:before="0" w:after="0"/>
    </w:pPr>
    <w:tblPr>
      <w:tblStyleRowBandSize w:val="1"/>
      <w:tblStyleColBandSize w:val="1"/>
      <w:tblBorders>
        <w:top w:val="single" w:sz="8" w:space="0" w:color="FF9F40" w:themeColor="accent4" w:themeTint="BF"/>
        <w:left w:val="single" w:sz="8" w:space="0" w:color="FF9F40" w:themeColor="accent4" w:themeTint="BF"/>
        <w:bottom w:val="single" w:sz="8" w:space="0" w:color="FF9F40" w:themeColor="accent4" w:themeTint="BF"/>
        <w:right w:val="single" w:sz="8" w:space="0" w:color="FF9F40" w:themeColor="accent4" w:themeTint="BF"/>
        <w:insideH w:val="single" w:sz="8" w:space="0" w:color="FF9F40" w:themeColor="accent4" w:themeTint="BF"/>
        <w:insideV w:val="single" w:sz="8" w:space="0" w:color="FF9F40" w:themeColor="accent4" w:themeTint="BF"/>
      </w:tblBorders>
    </w:tblPr>
    <w:tcPr>
      <w:shd w:val="clear" w:color="auto" w:fill="FFDFC0" w:themeFill="accent4" w:themeFillTint="3F"/>
    </w:tcPr>
    <w:tblStylePr w:type="firstRow">
      <w:rPr>
        <w:b/>
        <w:bCs/>
      </w:rPr>
    </w:tblStylePr>
    <w:tblStylePr w:type="lastRow">
      <w:rPr>
        <w:b/>
        <w:bCs/>
      </w:rPr>
      <w:tblPr/>
      <w:tcPr>
        <w:tcBorders>
          <w:top w:val="single" w:sz="18" w:space="0" w:color="FF9F40" w:themeColor="accent4" w:themeTint="BF"/>
        </w:tcBorders>
      </w:tcPr>
    </w:tblStylePr>
    <w:tblStylePr w:type="firstCol">
      <w:rPr>
        <w:b/>
        <w:bCs/>
      </w:rPr>
    </w:tblStylePr>
    <w:tblStylePr w:type="lastCol">
      <w:rPr>
        <w:b/>
        <w:bCs/>
      </w:rPr>
    </w:tblStylePr>
    <w:tblStylePr w:type="band1Vert">
      <w:tblPr/>
      <w:tcPr>
        <w:shd w:val="clear" w:color="auto" w:fill="FFBF80" w:themeFill="accent4" w:themeFillTint="7F"/>
      </w:tcPr>
    </w:tblStylePr>
    <w:tblStylePr w:type="band1Horz">
      <w:tblPr/>
      <w:tcPr>
        <w:shd w:val="clear" w:color="auto" w:fill="FFBF80" w:themeFill="accent4" w:themeFillTint="7F"/>
      </w:tcPr>
    </w:tblStylePr>
  </w:style>
  <w:style w:type="table" w:styleId="MediumGrid1-Accent5">
    <w:name w:val="Medium Grid 1 Accent 5"/>
    <w:basedOn w:val="TableNormal"/>
    <w:uiPriority w:val="67"/>
    <w:semiHidden/>
    <w:unhideWhenUsed/>
    <w:rsid w:val="007D1864"/>
    <w:pPr>
      <w:spacing w:before="0" w:after="0"/>
    </w:pPr>
    <w:tblPr>
      <w:tblStyleRowBandSize w:val="1"/>
      <w:tblStyleColBandSize w:val="1"/>
      <w:tblBorders>
        <w:top w:val="single" w:sz="8" w:space="0" w:color="FF195F" w:themeColor="accent5" w:themeTint="BF"/>
        <w:left w:val="single" w:sz="8" w:space="0" w:color="FF195F" w:themeColor="accent5" w:themeTint="BF"/>
        <w:bottom w:val="single" w:sz="8" w:space="0" w:color="FF195F" w:themeColor="accent5" w:themeTint="BF"/>
        <w:right w:val="single" w:sz="8" w:space="0" w:color="FF195F" w:themeColor="accent5" w:themeTint="BF"/>
        <w:insideH w:val="single" w:sz="8" w:space="0" w:color="FF195F" w:themeColor="accent5" w:themeTint="BF"/>
        <w:insideV w:val="single" w:sz="8" w:space="0" w:color="FF195F" w:themeColor="accent5" w:themeTint="BF"/>
      </w:tblBorders>
    </w:tblPr>
    <w:tcPr>
      <w:shd w:val="clear" w:color="auto" w:fill="FFB3CA" w:themeFill="accent5" w:themeFillTint="3F"/>
    </w:tcPr>
    <w:tblStylePr w:type="firstRow">
      <w:rPr>
        <w:b/>
        <w:bCs/>
      </w:rPr>
    </w:tblStylePr>
    <w:tblStylePr w:type="lastRow">
      <w:rPr>
        <w:b/>
        <w:bCs/>
      </w:rPr>
      <w:tblPr/>
      <w:tcPr>
        <w:tcBorders>
          <w:top w:val="single" w:sz="18" w:space="0" w:color="FF195F" w:themeColor="accent5" w:themeTint="BF"/>
        </w:tcBorders>
      </w:tcPr>
    </w:tblStylePr>
    <w:tblStylePr w:type="firstCol">
      <w:rPr>
        <w:b/>
        <w:bCs/>
      </w:rPr>
    </w:tblStylePr>
    <w:tblStylePr w:type="lastCol">
      <w:rPr>
        <w:b/>
        <w:bCs/>
      </w:rPr>
    </w:tblStylePr>
    <w:tblStylePr w:type="band1Vert">
      <w:tblPr/>
      <w:tcPr>
        <w:shd w:val="clear" w:color="auto" w:fill="FF6695" w:themeFill="accent5" w:themeFillTint="7F"/>
      </w:tcPr>
    </w:tblStylePr>
    <w:tblStylePr w:type="band1Horz">
      <w:tblPr/>
      <w:tcPr>
        <w:shd w:val="clear" w:color="auto" w:fill="FF6695" w:themeFill="accent5" w:themeFillTint="7F"/>
      </w:tcPr>
    </w:tblStylePr>
  </w:style>
  <w:style w:type="table" w:styleId="MediumGrid1-Accent6">
    <w:name w:val="Medium Grid 1 Accent 6"/>
    <w:basedOn w:val="TableNormal"/>
    <w:uiPriority w:val="67"/>
    <w:semiHidden/>
    <w:unhideWhenUsed/>
    <w:rsid w:val="007D1864"/>
    <w:pPr>
      <w:spacing w:before="0" w:after="0"/>
    </w:pPr>
    <w:tblPr>
      <w:tblStyleRowBandSize w:val="1"/>
      <w:tblStyleColBandSize w:val="1"/>
      <w:tblBorders>
        <w:top w:val="single" w:sz="8" w:space="0" w:color="B254AB" w:themeColor="accent6" w:themeTint="BF"/>
        <w:left w:val="single" w:sz="8" w:space="0" w:color="B254AB" w:themeColor="accent6" w:themeTint="BF"/>
        <w:bottom w:val="single" w:sz="8" w:space="0" w:color="B254AB" w:themeColor="accent6" w:themeTint="BF"/>
        <w:right w:val="single" w:sz="8" w:space="0" w:color="B254AB" w:themeColor="accent6" w:themeTint="BF"/>
        <w:insideH w:val="single" w:sz="8" w:space="0" w:color="B254AB" w:themeColor="accent6" w:themeTint="BF"/>
        <w:insideV w:val="single" w:sz="8" w:space="0" w:color="B254AB" w:themeColor="accent6" w:themeTint="BF"/>
      </w:tblBorders>
    </w:tblPr>
    <w:tcPr>
      <w:shd w:val="clear" w:color="auto" w:fill="E5C6E3" w:themeFill="accent6" w:themeFillTint="3F"/>
    </w:tcPr>
    <w:tblStylePr w:type="firstRow">
      <w:rPr>
        <w:b/>
        <w:bCs/>
      </w:rPr>
    </w:tblStylePr>
    <w:tblStylePr w:type="lastRow">
      <w:rPr>
        <w:b/>
        <w:bCs/>
      </w:rPr>
      <w:tblPr/>
      <w:tcPr>
        <w:tcBorders>
          <w:top w:val="single" w:sz="18" w:space="0" w:color="B254AB" w:themeColor="accent6" w:themeTint="BF"/>
        </w:tcBorders>
      </w:tcPr>
    </w:tblStylePr>
    <w:tblStylePr w:type="firstCol">
      <w:rPr>
        <w:b/>
        <w:bCs/>
      </w:rPr>
    </w:tblStylePr>
    <w:tblStylePr w:type="lastCol">
      <w:rPr>
        <w:b/>
        <w:bCs/>
      </w:rPr>
    </w:tblStylePr>
    <w:tblStylePr w:type="band1Vert">
      <w:tblPr/>
      <w:tcPr>
        <w:shd w:val="clear" w:color="auto" w:fill="CB8DC7" w:themeFill="accent6" w:themeFillTint="7F"/>
      </w:tcPr>
    </w:tblStylePr>
    <w:tblStylePr w:type="band1Horz">
      <w:tblPr/>
      <w:tcPr>
        <w:shd w:val="clear" w:color="auto" w:fill="CB8DC7" w:themeFill="accent6" w:themeFillTint="7F"/>
      </w:tcPr>
    </w:tblStylePr>
  </w:style>
  <w:style w:type="table" w:styleId="MediumGrid2">
    <w:name w:val="Medium Grid 2"/>
    <w:basedOn w:val="TableNormal"/>
    <w:uiPriority w:val="68"/>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0278AD" w:themeColor="accent1"/>
        <w:left w:val="single" w:sz="8" w:space="0" w:color="0278AD" w:themeColor="accent1"/>
        <w:bottom w:val="single" w:sz="8" w:space="0" w:color="0278AD" w:themeColor="accent1"/>
        <w:right w:val="single" w:sz="8" w:space="0" w:color="0278AD" w:themeColor="accent1"/>
        <w:insideH w:val="single" w:sz="8" w:space="0" w:color="0278AD" w:themeColor="accent1"/>
        <w:insideV w:val="single" w:sz="8" w:space="0" w:color="0278AD" w:themeColor="accent1"/>
      </w:tblBorders>
    </w:tblPr>
    <w:tcPr>
      <w:shd w:val="clear" w:color="auto" w:fill="ACE4FE" w:themeFill="accent1" w:themeFillTint="3F"/>
    </w:tcPr>
    <w:tblStylePr w:type="firstRow">
      <w:rPr>
        <w:b/>
        <w:bCs/>
        <w:color w:val="000000" w:themeColor="text1"/>
      </w:rPr>
      <w:tblPr/>
      <w:tcPr>
        <w:shd w:val="clear" w:color="auto" w:fill="DEF4FE"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CE9FE" w:themeFill="accent1" w:themeFillTint="33"/>
      </w:tcPr>
    </w:tblStylePr>
    <w:tblStylePr w:type="band1Vert">
      <w:tblPr/>
      <w:tcPr>
        <w:shd w:val="clear" w:color="auto" w:fill="59C9FD" w:themeFill="accent1" w:themeFillTint="7F"/>
      </w:tcPr>
    </w:tblStylePr>
    <w:tblStylePr w:type="band1Horz">
      <w:tblPr/>
      <w:tcPr>
        <w:tcBorders>
          <w:insideH w:val="single" w:sz="6" w:space="0" w:color="0278AD" w:themeColor="accent1"/>
          <w:insideV w:val="single" w:sz="6" w:space="0" w:color="0278AD" w:themeColor="accent1"/>
        </w:tcBorders>
        <w:shd w:val="clear" w:color="auto" w:fill="59C9FD"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FCB717" w:themeColor="accent2"/>
        <w:left w:val="single" w:sz="8" w:space="0" w:color="FCB717" w:themeColor="accent2"/>
        <w:bottom w:val="single" w:sz="8" w:space="0" w:color="FCB717" w:themeColor="accent2"/>
        <w:right w:val="single" w:sz="8" w:space="0" w:color="FCB717" w:themeColor="accent2"/>
        <w:insideH w:val="single" w:sz="8" w:space="0" w:color="FCB717" w:themeColor="accent2"/>
        <w:insideV w:val="single" w:sz="8" w:space="0" w:color="FCB717" w:themeColor="accent2"/>
      </w:tblBorders>
    </w:tblPr>
    <w:tcPr>
      <w:shd w:val="clear" w:color="auto" w:fill="FEEDC5" w:themeFill="accent2" w:themeFillTint="3F"/>
    </w:tcPr>
    <w:tblStylePr w:type="firstRow">
      <w:rPr>
        <w:b/>
        <w:bCs/>
        <w:color w:val="000000" w:themeColor="text1"/>
      </w:rPr>
      <w:tblPr/>
      <w:tcPr>
        <w:shd w:val="clear" w:color="auto" w:fill="FEF7E7"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EF0D0" w:themeFill="accent2" w:themeFillTint="33"/>
      </w:tcPr>
    </w:tblStylePr>
    <w:tblStylePr w:type="band1Vert">
      <w:tblPr/>
      <w:tcPr>
        <w:shd w:val="clear" w:color="auto" w:fill="FDDA8B" w:themeFill="accent2" w:themeFillTint="7F"/>
      </w:tcPr>
    </w:tblStylePr>
    <w:tblStylePr w:type="band1Horz">
      <w:tblPr/>
      <w:tcPr>
        <w:tcBorders>
          <w:insideH w:val="single" w:sz="6" w:space="0" w:color="FCB717" w:themeColor="accent2"/>
          <w:insideV w:val="single" w:sz="6" w:space="0" w:color="FCB717" w:themeColor="accent2"/>
        </w:tcBorders>
        <w:shd w:val="clear" w:color="auto" w:fill="FDDA8B"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6EB444" w:themeColor="accent3"/>
        <w:left w:val="single" w:sz="8" w:space="0" w:color="6EB444" w:themeColor="accent3"/>
        <w:bottom w:val="single" w:sz="8" w:space="0" w:color="6EB444" w:themeColor="accent3"/>
        <w:right w:val="single" w:sz="8" w:space="0" w:color="6EB444" w:themeColor="accent3"/>
        <w:insideH w:val="single" w:sz="8" w:space="0" w:color="6EB444" w:themeColor="accent3"/>
        <w:insideV w:val="single" w:sz="8" w:space="0" w:color="6EB444" w:themeColor="accent3"/>
      </w:tblBorders>
    </w:tblPr>
    <w:tcPr>
      <w:shd w:val="clear" w:color="auto" w:fill="DAEDCF" w:themeFill="accent3" w:themeFillTint="3F"/>
    </w:tcPr>
    <w:tblStylePr w:type="firstRow">
      <w:rPr>
        <w:b/>
        <w:bCs/>
        <w:color w:val="000000" w:themeColor="text1"/>
      </w:rPr>
      <w:tblPr/>
      <w:tcPr>
        <w:shd w:val="clear" w:color="auto" w:fill="F0F8EC"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1F0D8" w:themeFill="accent3" w:themeFillTint="33"/>
      </w:tcPr>
    </w:tblStylePr>
    <w:tblStylePr w:type="band1Vert">
      <w:tblPr/>
      <w:tcPr>
        <w:shd w:val="clear" w:color="auto" w:fill="B6DBA0" w:themeFill="accent3" w:themeFillTint="7F"/>
      </w:tcPr>
    </w:tblStylePr>
    <w:tblStylePr w:type="band1Horz">
      <w:tblPr/>
      <w:tcPr>
        <w:tcBorders>
          <w:insideH w:val="single" w:sz="6" w:space="0" w:color="6EB444" w:themeColor="accent3"/>
          <w:insideV w:val="single" w:sz="6" w:space="0" w:color="6EB444" w:themeColor="accent3"/>
        </w:tcBorders>
        <w:shd w:val="clear" w:color="auto" w:fill="B6DBA0"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FF8000" w:themeColor="accent4"/>
        <w:left w:val="single" w:sz="8" w:space="0" w:color="FF8000" w:themeColor="accent4"/>
        <w:bottom w:val="single" w:sz="8" w:space="0" w:color="FF8000" w:themeColor="accent4"/>
        <w:right w:val="single" w:sz="8" w:space="0" w:color="FF8000" w:themeColor="accent4"/>
        <w:insideH w:val="single" w:sz="8" w:space="0" w:color="FF8000" w:themeColor="accent4"/>
        <w:insideV w:val="single" w:sz="8" w:space="0" w:color="FF8000" w:themeColor="accent4"/>
      </w:tblBorders>
    </w:tblPr>
    <w:tcPr>
      <w:shd w:val="clear" w:color="auto" w:fill="FFDFC0" w:themeFill="accent4" w:themeFillTint="3F"/>
    </w:tcPr>
    <w:tblStylePr w:type="firstRow">
      <w:rPr>
        <w:b/>
        <w:bCs/>
        <w:color w:val="000000" w:themeColor="text1"/>
      </w:rPr>
      <w:tblPr/>
      <w:tcPr>
        <w:shd w:val="clear" w:color="auto" w:fill="FFF2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5CC" w:themeFill="accent4" w:themeFillTint="33"/>
      </w:tcPr>
    </w:tblStylePr>
    <w:tblStylePr w:type="band1Vert">
      <w:tblPr/>
      <w:tcPr>
        <w:shd w:val="clear" w:color="auto" w:fill="FFBF80" w:themeFill="accent4" w:themeFillTint="7F"/>
      </w:tcPr>
    </w:tblStylePr>
    <w:tblStylePr w:type="band1Horz">
      <w:tblPr/>
      <w:tcPr>
        <w:tcBorders>
          <w:insideH w:val="single" w:sz="6" w:space="0" w:color="FF8000" w:themeColor="accent4"/>
          <w:insideV w:val="single" w:sz="6" w:space="0" w:color="FF8000" w:themeColor="accent4"/>
        </w:tcBorders>
        <w:shd w:val="clear" w:color="auto" w:fill="FFB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CC003F" w:themeColor="accent5"/>
        <w:left w:val="single" w:sz="8" w:space="0" w:color="CC003F" w:themeColor="accent5"/>
        <w:bottom w:val="single" w:sz="8" w:space="0" w:color="CC003F" w:themeColor="accent5"/>
        <w:right w:val="single" w:sz="8" w:space="0" w:color="CC003F" w:themeColor="accent5"/>
        <w:insideH w:val="single" w:sz="8" w:space="0" w:color="CC003F" w:themeColor="accent5"/>
        <w:insideV w:val="single" w:sz="8" w:space="0" w:color="CC003F" w:themeColor="accent5"/>
      </w:tblBorders>
    </w:tblPr>
    <w:tcPr>
      <w:shd w:val="clear" w:color="auto" w:fill="FFB3CA" w:themeFill="accent5" w:themeFillTint="3F"/>
    </w:tcPr>
    <w:tblStylePr w:type="firstRow">
      <w:rPr>
        <w:b/>
        <w:bCs/>
        <w:color w:val="000000" w:themeColor="text1"/>
      </w:rPr>
      <w:tblPr/>
      <w:tcPr>
        <w:shd w:val="clear" w:color="auto" w:fill="FFE1EA"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C1D4" w:themeFill="accent5" w:themeFillTint="33"/>
      </w:tcPr>
    </w:tblStylePr>
    <w:tblStylePr w:type="band1Vert">
      <w:tblPr/>
      <w:tcPr>
        <w:shd w:val="clear" w:color="auto" w:fill="FF6695" w:themeFill="accent5" w:themeFillTint="7F"/>
      </w:tcPr>
    </w:tblStylePr>
    <w:tblStylePr w:type="band1Horz">
      <w:tblPr/>
      <w:tcPr>
        <w:tcBorders>
          <w:insideH w:val="single" w:sz="6" w:space="0" w:color="CC003F" w:themeColor="accent5"/>
          <w:insideV w:val="single" w:sz="6" w:space="0" w:color="CC003F" w:themeColor="accent5"/>
        </w:tcBorders>
        <w:shd w:val="clear" w:color="auto" w:fill="FF669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7C3877" w:themeColor="accent6"/>
        <w:left w:val="single" w:sz="8" w:space="0" w:color="7C3877" w:themeColor="accent6"/>
        <w:bottom w:val="single" w:sz="8" w:space="0" w:color="7C3877" w:themeColor="accent6"/>
        <w:right w:val="single" w:sz="8" w:space="0" w:color="7C3877" w:themeColor="accent6"/>
        <w:insideH w:val="single" w:sz="8" w:space="0" w:color="7C3877" w:themeColor="accent6"/>
        <w:insideV w:val="single" w:sz="8" w:space="0" w:color="7C3877" w:themeColor="accent6"/>
      </w:tblBorders>
    </w:tblPr>
    <w:tcPr>
      <w:shd w:val="clear" w:color="auto" w:fill="E5C6E3" w:themeFill="accent6" w:themeFillTint="3F"/>
    </w:tcPr>
    <w:tblStylePr w:type="firstRow">
      <w:rPr>
        <w:b/>
        <w:bCs/>
        <w:color w:val="000000" w:themeColor="text1"/>
      </w:rPr>
      <w:tblPr/>
      <w:tcPr>
        <w:shd w:val="clear" w:color="auto" w:fill="F5E8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D1E8" w:themeFill="accent6" w:themeFillTint="33"/>
      </w:tcPr>
    </w:tblStylePr>
    <w:tblStylePr w:type="band1Vert">
      <w:tblPr/>
      <w:tcPr>
        <w:shd w:val="clear" w:color="auto" w:fill="CB8DC7" w:themeFill="accent6" w:themeFillTint="7F"/>
      </w:tcPr>
    </w:tblStylePr>
    <w:tblStylePr w:type="band1Horz">
      <w:tblPr/>
      <w:tcPr>
        <w:tcBorders>
          <w:insideH w:val="single" w:sz="6" w:space="0" w:color="7C3877" w:themeColor="accent6"/>
          <w:insideV w:val="single" w:sz="6" w:space="0" w:color="7C3877" w:themeColor="accent6"/>
        </w:tcBorders>
        <w:shd w:val="clear" w:color="auto" w:fill="CB8DC7"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7D1864"/>
    <w:pPr>
      <w:spacing w:before="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7D1864"/>
    <w:pPr>
      <w:spacing w:before="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E4F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278A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278A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278A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278A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C9FD"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C9FD" w:themeFill="accent1" w:themeFillTint="7F"/>
      </w:tcPr>
    </w:tblStylePr>
  </w:style>
  <w:style w:type="table" w:styleId="MediumGrid3-Accent2">
    <w:name w:val="Medium Grid 3 Accent 2"/>
    <w:basedOn w:val="TableNormal"/>
    <w:uiPriority w:val="69"/>
    <w:semiHidden/>
    <w:unhideWhenUsed/>
    <w:rsid w:val="007D1864"/>
    <w:pPr>
      <w:spacing w:before="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DC5"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CB717"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CB717"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CB717"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CB717"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DDA8B"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DDA8B" w:themeFill="accent2" w:themeFillTint="7F"/>
      </w:tcPr>
    </w:tblStylePr>
  </w:style>
  <w:style w:type="table" w:styleId="MediumGrid3-Accent3">
    <w:name w:val="Medium Grid 3 Accent 3"/>
    <w:basedOn w:val="TableNormal"/>
    <w:uiPriority w:val="69"/>
    <w:semiHidden/>
    <w:unhideWhenUsed/>
    <w:rsid w:val="007D1864"/>
    <w:pPr>
      <w:spacing w:before="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AEDC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EB444"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EB444"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EB444"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EB444"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6DBA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6DBA0" w:themeFill="accent3" w:themeFillTint="7F"/>
      </w:tcPr>
    </w:tblStylePr>
  </w:style>
  <w:style w:type="table" w:styleId="MediumGrid3-Accent4">
    <w:name w:val="Medium Grid 3 Accent 4"/>
    <w:basedOn w:val="TableNormal"/>
    <w:uiPriority w:val="69"/>
    <w:semiHidden/>
    <w:unhideWhenUsed/>
    <w:rsid w:val="007D1864"/>
    <w:pPr>
      <w:spacing w:before="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D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8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8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8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8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F80" w:themeFill="accent4" w:themeFillTint="7F"/>
      </w:tcPr>
    </w:tblStylePr>
  </w:style>
  <w:style w:type="table" w:styleId="MediumGrid3-Accent5">
    <w:name w:val="Medium Grid 3 Accent 5"/>
    <w:basedOn w:val="TableNormal"/>
    <w:uiPriority w:val="69"/>
    <w:semiHidden/>
    <w:unhideWhenUsed/>
    <w:rsid w:val="007D1864"/>
    <w:pPr>
      <w:spacing w:before="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B3C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003F"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003F"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003F"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003F"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669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6695" w:themeFill="accent5" w:themeFillTint="7F"/>
      </w:tcPr>
    </w:tblStylePr>
  </w:style>
  <w:style w:type="table" w:styleId="MediumGrid3-Accent6">
    <w:name w:val="Medium Grid 3 Accent 6"/>
    <w:basedOn w:val="TableNormal"/>
    <w:uiPriority w:val="69"/>
    <w:semiHidden/>
    <w:unhideWhenUsed/>
    <w:rsid w:val="007D1864"/>
    <w:pPr>
      <w:spacing w:before="0"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C6E3"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C387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C387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C387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C387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B8DC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B8DC7" w:themeFill="accent6" w:themeFillTint="7F"/>
      </w:tcPr>
    </w:tblStylePr>
  </w:style>
  <w:style w:type="table" w:styleId="MediumList1">
    <w:name w:val="Medium List 1"/>
    <w:basedOn w:val="TableNormal"/>
    <w:uiPriority w:val="65"/>
    <w:semiHidden/>
    <w:unhideWhenUsed/>
    <w:rsid w:val="007D1864"/>
    <w:pPr>
      <w:spacing w:before="0" w:after="0"/>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59595B"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7D1864"/>
    <w:pPr>
      <w:spacing w:before="0" w:after="0"/>
    </w:pPr>
    <w:rPr>
      <w:color w:val="000000" w:themeColor="text1"/>
    </w:rPr>
    <w:tblPr>
      <w:tblStyleRowBandSize w:val="1"/>
      <w:tblStyleColBandSize w:val="1"/>
      <w:tblBorders>
        <w:top w:val="single" w:sz="8" w:space="0" w:color="0278AD" w:themeColor="accent1"/>
        <w:bottom w:val="single" w:sz="8" w:space="0" w:color="0278AD" w:themeColor="accent1"/>
      </w:tblBorders>
    </w:tblPr>
    <w:tblStylePr w:type="firstRow">
      <w:rPr>
        <w:rFonts w:asciiTheme="majorHAnsi" w:eastAsiaTheme="majorEastAsia" w:hAnsiTheme="majorHAnsi" w:cstheme="majorBidi"/>
      </w:rPr>
      <w:tblPr/>
      <w:tcPr>
        <w:tcBorders>
          <w:top w:val="nil"/>
          <w:bottom w:val="single" w:sz="8" w:space="0" w:color="0278AD" w:themeColor="accent1"/>
        </w:tcBorders>
      </w:tcPr>
    </w:tblStylePr>
    <w:tblStylePr w:type="lastRow">
      <w:rPr>
        <w:b/>
        <w:bCs/>
        <w:color w:val="59595B" w:themeColor="text2"/>
      </w:rPr>
      <w:tblPr/>
      <w:tcPr>
        <w:tcBorders>
          <w:top w:val="single" w:sz="8" w:space="0" w:color="0278AD" w:themeColor="accent1"/>
          <w:bottom w:val="single" w:sz="8" w:space="0" w:color="0278AD" w:themeColor="accent1"/>
        </w:tcBorders>
      </w:tcPr>
    </w:tblStylePr>
    <w:tblStylePr w:type="firstCol">
      <w:rPr>
        <w:b/>
        <w:bCs/>
      </w:rPr>
    </w:tblStylePr>
    <w:tblStylePr w:type="lastCol">
      <w:rPr>
        <w:b/>
        <w:bCs/>
      </w:rPr>
      <w:tblPr/>
      <w:tcPr>
        <w:tcBorders>
          <w:top w:val="single" w:sz="8" w:space="0" w:color="0278AD" w:themeColor="accent1"/>
          <w:bottom w:val="single" w:sz="8" w:space="0" w:color="0278AD" w:themeColor="accent1"/>
        </w:tcBorders>
      </w:tcPr>
    </w:tblStylePr>
    <w:tblStylePr w:type="band1Vert">
      <w:tblPr/>
      <w:tcPr>
        <w:shd w:val="clear" w:color="auto" w:fill="ACE4FE" w:themeFill="accent1" w:themeFillTint="3F"/>
      </w:tcPr>
    </w:tblStylePr>
    <w:tblStylePr w:type="band1Horz">
      <w:tblPr/>
      <w:tcPr>
        <w:shd w:val="clear" w:color="auto" w:fill="ACE4FE" w:themeFill="accent1" w:themeFillTint="3F"/>
      </w:tcPr>
    </w:tblStylePr>
  </w:style>
  <w:style w:type="table" w:styleId="MediumList1-Accent2">
    <w:name w:val="Medium List 1 Accent 2"/>
    <w:basedOn w:val="TableNormal"/>
    <w:uiPriority w:val="65"/>
    <w:semiHidden/>
    <w:unhideWhenUsed/>
    <w:rsid w:val="007D1864"/>
    <w:pPr>
      <w:spacing w:before="0" w:after="0"/>
    </w:pPr>
    <w:rPr>
      <w:color w:val="000000" w:themeColor="text1"/>
    </w:rPr>
    <w:tblPr>
      <w:tblStyleRowBandSize w:val="1"/>
      <w:tblStyleColBandSize w:val="1"/>
      <w:tblBorders>
        <w:top w:val="single" w:sz="8" w:space="0" w:color="FCB717" w:themeColor="accent2"/>
        <w:bottom w:val="single" w:sz="8" w:space="0" w:color="FCB717" w:themeColor="accent2"/>
      </w:tblBorders>
    </w:tblPr>
    <w:tblStylePr w:type="firstRow">
      <w:rPr>
        <w:rFonts w:asciiTheme="majorHAnsi" w:eastAsiaTheme="majorEastAsia" w:hAnsiTheme="majorHAnsi" w:cstheme="majorBidi"/>
      </w:rPr>
      <w:tblPr/>
      <w:tcPr>
        <w:tcBorders>
          <w:top w:val="nil"/>
          <w:bottom w:val="single" w:sz="8" w:space="0" w:color="FCB717" w:themeColor="accent2"/>
        </w:tcBorders>
      </w:tcPr>
    </w:tblStylePr>
    <w:tblStylePr w:type="lastRow">
      <w:rPr>
        <w:b/>
        <w:bCs/>
        <w:color w:val="59595B" w:themeColor="text2"/>
      </w:rPr>
      <w:tblPr/>
      <w:tcPr>
        <w:tcBorders>
          <w:top w:val="single" w:sz="8" w:space="0" w:color="FCB717" w:themeColor="accent2"/>
          <w:bottom w:val="single" w:sz="8" w:space="0" w:color="FCB717" w:themeColor="accent2"/>
        </w:tcBorders>
      </w:tcPr>
    </w:tblStylePr>
    <w:tblStylePr w:type="firstCol">
      <w:rPr>
        <w:b/>
        <w:bCs/>
      </w:rPr>
    </w:tblStylePr>
    <w:tblStylePr w:type="lastCol">
      <w:rPr>
        <w:b/>
        <w:bCs/>
      </w:rPr>
      <w:tblPr/>
      <w:tcPr>
        <w:tcBorders>
          <w:top w:val="single" w:sz="8" w:space="0" w:color="FCB717" w:themeColor="accent2"/>
          <w:bottom w:val="single" w:sz="8" w:space="0" w:color="FCB717" w:themeColor="accent2"/>
        </w:tcBorders>
      </w:tcPr>
    </w:tblStylePr>
    <w:tblStylePr w:type="band1Vert">
      <w:tblPr/>
      <w:tcPr>
        <w:shd w:val="clear" w:color="auto" w:fill="FEEDC5" w:themeFill="accent2" w:themeFillTint="3F"/>
      </w:tcPr>
    </w:tblStylePr>
    <w:tblStylePr w:type="band1Horz">
      <w:tblPr/>
      <w:tcPr>
        <w:shd w:val="clear" w:color="auto" w:fill="FEEDC5" w:themeFill="accent2" w:themeFillTint="3F"/>
      </w:tcPr>
    </w:tblStylePr>
  </w:style>
  <w:style w:type="table" w:styleId="MediumList1-Accent3">
    <w:name w:val="Medium List 1 Accent 3"/>
    <w:basedOn w:val="TableNormal"/>
    <w:uiPriority w:val="65"/>
    <w:semiHidden/>
    <w:unhideWhenUsed/>
    <w:rsid w:val="007D1864"/>
    <w:pPr>
      <w:spacing w:before="0" w:after="0"/>
    </w:pPr>
    <w:rPr>
      <w:color w:val="000000" w:themeColor="text1"/>
    </w:rPr>
    <w:tblPr>
      <w:tblStyleRowBandSize w:val="1"/>
      <w:tblStyleColBandSize w:val="1"/>
      <w:tblBorders>
        <w:top w:val="single" w:sz="8" w:space="0" w:color="6EB444" w:themeColor="accent3"/>
        <w:bottom w:val="single" w:sz="8" w:space="0" w:color="6EB444" w:themeColor="accent3"/>
      </w:tblBorders>
    </w:tblPr>
    <w:tblStylePr w:type="firstRow">
      <w:rPr>
        <w:rFonts w:asciiTheme="majorHAnsi" w:eastAsiaTheme="majorEastAsia" w:hAnsiTheme="majorHAnsi" w:cstheme="majorBidi"/>
      </w:rPr>
      <w:tblPr/>
      <w:tcPr>
        <w:tcBorders>
          <w:top w:val="nil"/>
          <w:bottom w:val="single" w:sz="8" w:space="0" w:color="6EB444" w:themeColor="accent3"/>
        </w:tcBorders>
      </w:tcPr>
    </w:tblStylePr>
    <w:tblStylePr w:type="lastRow">
      <w:rPr>
        <w:b/>
        <w:bCs/>
        <w:color w:val="59595B" w:themeColor="text2"/>
      </w:rPr>
      <w:tblPr/>
      <w:tcPr>
        <w:tcBorders>
          <w:top w:val="single" w:sz="8" w:space="0" w:color="6EB444" w:themeColor="accent3"/>
          <w:bottom w:val="single" w:sz="8" w:space="0" w:color="6EB444" w:themeColor="accent3"/>
        </w:tcBorders>
      </w:tcPr>
    </w:tblStylePr>
    <w:tblStylePr w:type="firstCol">
      <w:rPr>
        <w:b/>
        <w:bCs/>
      </w:rPr>
    </w:tblStylePr>
    <w:tblStylePr w:type="lastCol">
      <w:rPr>
        <w:b/>
        <w:bCs/>
      </w:rPr>
      <w:tblPr/>
      <w:tcPr>
        <w:tcBorders>
          <w:top w:val="single" w:sz="8" w:space="0" w:color="6EB444" w:themeColor="accent3"/>
          <w:bottom w:val="single" w:sz="8" w:space="0" w:color="6EB444" w:themeColor="accent3"/>
        </w:tcBorders>
      </w:tcPr>
    </w:tblStylePr>
    <w:tblStylePr w:type="band1Vert">
      <w:tblPr/>
      <w:tcPr>
        <w:shd w:val="clear" w:color="auto" w:fill="DAEDCF" w:themeFill="accent3" w:themeFillTint="3F"/>
      </w:tcPr>
    </w:tblStylePr>
    <w:tblStylePr w:type="band1Horz">
      <w:tblPr/>
      <w:tcPr>
        <w:shd w:val="clear" w:color="auto" w:fill="DAEDCF" w:themeFill="accent3" w:themeFillTint="3F"/>
      </w:tcPr>
    </w:tblStylePr>
  </w:style>
  <w:style w:type="table" w:styleId="MediumList1-Accent4">
    <w:name w:val="Medium List 1 Accent 4"/>
    <w:basedOn w:val="TableNormal"/>
    <w:uiPriority w:val="65"/>
    <w:semiHidden/>
    <w:unhideWhenUsed/>
    <w:rsid w:val="007D1864"/>
    <w:pPr>
      <w:spacing w:before="0" w:after="0"/>
    </w:pPr>
    <w:rPr>
      <w:color w:val="000000" w:themeColor="text1"/>
    </w:rPr>
    <w:tblPr>
      <w:tblStyleRowBandSize w:val="1"/>
      <w:tblStyleColBandSize w:val="1"/>
      <w:tblBorders>
        <w:top w:val="single" w:sz="8" w:space="0" w:color="FF8000" w:themeColor="accent4"/>
        <w:bottom w:val="single" w:sz="8" w:space="0" w:color="FF8000" w:themeColor="accent4"/>
      </w:tblBorders>
    </w:tblPr>
    <w:tblStylePr w:type="firstRow">
      <w:rPr>
        <w:rFonts w:asciiTheme="majorHAnsi" w:eastAsiaTheme="majorEastAsia" w:hAnsiTheme="majorHAnsi" w:cstheme="majorBidi"/>
      </w:rPr>
      <w:tblPr/>
      <w:tcPr>
        <w:tcBorders>
          <w:top w:val="nil"/>
          <w:bottom w:val="single" w:sz="8" w:space="0" w:color="FF8000" w:themeColor="accent4"/>
        </w:tcBorders>
      </w:tcPr>
    </w:tblStylePr>
    <w:tblStylePr w:type="lastRow">
      <w:rPr>
        <w:b/>
        <w:bCs/>
        <w:color w:val="59595B" w:themeColor="text2"/>
      </w:rPr>
      <w:tblPr/>
      <w:tcPr>
        <w:tcBorders>
          <w:top w:val="single" w:sz="8" w:space="0" w:color="FF8000" w:themeColor="accent4"/>
          <w:bottom w:val="single" w:sz="8" w:space="0" w:color="FF8000" w:themeColor="accent4"/>
        </w:tcBorders>
      </w:tcPr>
    </w:tblStylePr>
    <w:tblStylePr w:type="firstCol">
      <w:rPr>
        <w:b/>
        <w:bCs/>
      </w:rPr>
    </w:tblStylePr>
    <w:tblStylePr w:type="lastCol">
      <w:rPr>
        <w:b/>
        <w:bCs/>
      </w:rPr>
      <w:tblPr/>
      <w:tcPr>
        <w:tcBorders>
          <w:top w:val="single" w:sz="8" w:space="0" w:color="FF8000" w:themeColor="accent4"/>
          <w:bottom w:val="single" w:sz="8" w:space="0" w:color="FF8000" w:themeColor="accent4"/>
        </w:tcBorders>
      </w:tcPr>
    </w:tblStylePr>
    <w:tblStylePr w:type="band1Vert">
      <w:tblPr/>
      <w:tcPr>
        <w:shd w:val="clear" w:color="auto" w:fill="FFDFC0" w:themeFill="accent4" w:themeFillTint="3F"/>
      </w:tcPr>
    </w:tblStylePr>
    <w:tblStylePr w:type="band1Horz">
      <w:tblPr/>
      <w:tcPr>
        <w:shd w:val="clear" w:color="auto" w:fill="FFDFC0" w:themeFill="accent4" w:themeFillTint="3F"/>
      </w:tcPr>
    </w:tblStylePr>
  </w:style>
  <w:style w:type="table" w:styleId="MediumList1-Accent5">
    <w:name w:val="Medium List 1 Accent 5"/>
    <w:basedOn w:val="TableNormal"/>
    <w:uiPriority w:val="65"/>
    <w:semiHidden/>
    <w:unhideWhenUsed/>
    <w:rsid w:val="007D1864"/>
    <w:pPr>
      <w:spacing w:before="0" w:after="0"/>
    </w:pPr>
    <w:rPr>
      <w:color w:val="000000" w:themeColor="text1"/>
    </w:rPr>
    <w:tblPr>
      <w:tblStyleRowBandSize w:val="1"/>
      <w:tblStyleColBandSize w:val="1"/>
      <w:tblBorders>
        <w:top w:val="single" w:sz="8" w:space="0" w:color="CC003F" w:themeColor="accent5"/>
        <w:bottom w:val="single" w:sz="8" w:space="0" w:color="CC003F" w:themeColor="accent5"/>
      </w:tblBorders>
    </w:tblPr>
    <w:tblStylePr w:type="firstRow">
      <w:rPr>
        <w:rFonts w:asciiTheme="majorHAnsi" w:eastAsiaTheme="majorEastAsia" w:hAnsiTheme="majorHAnsi" w:cstheme="majorBidi"/>
      </w:rPr>
      <w:tblPr/>
      <w:tcPr>
        <w:tcBorders>
          <w:top w:val="nil"/>
          <w:bottom w:val="single" w:sz="8" w:space="0" w:color="CC003F" w:themeColor="accent5"/>
        </w:tcBorders>
      </w:tcPr>
    </w:tblStylePr>
    <w:tblStylePr w:type="lastRow">
      <w:rPr>
        <w:b/>
        <w:bCs/>
        <w:color w:val="59595B" w:themeColor="text2"/>
      </w:rPr>
      <w:tblPr/>
      <w:tcPr>
        <w:tcBorders>
          <w:top w:val="single" w:sz="8" w:space="0" w:color="CC003F" w:themeColor="accent5"/>
          <w:bottom w:val="single" w:sz="8" w:space="0" w:color="CC003F" w:themeColor="accent5"/>
        </w:tcBorders>
      </w:tcPr>
    </w:tblStylePr>
    <w:tblStylePr w:type="firstCol">
      <w:rPr>
        <w:b/>
        <w:bCs/>
      </w:rPr>
    </w:tblStylePr>
    <w:tblStylePr w:type="lastCol">
      <w:rPr>
        <w:b/>
        <w:bCs/>
      </w:rPr>
      <w:tblPr/>
      <w:tcPr>
        <w:tcBorders>
          <w:top w:val="single" w:sz="8" w:space="0" w:color="CC003F" w:themeColor="accent5"/>
          <w:bottom w:val="single" w:sz="8" w:space="0" w:color="CC003F" w:themeColor="accent5"/>
        </w:tcBorders>
      </w:tcPr>
    </w:tblStylePr>
    <w:tblStylePr w:type="band1Vert">
      <w:tblPr/>
      <w:tcPr>
        <w:shd w:val="clear" w:color="auto" w:fill="FFB3CA" w:themeFill="accent5" w:themeFillTint="3F"/>
      </w:tcPr>
    </w:tblStylePr>
    <w:tblStylePr w:type="band1Horz">
      <w:tblPr/>
      <w:tcPr>
        <w:shd w:val="clear" w:color="auto" w:fill="FFB3CA" w:themeFill="accent5" w:themeFillTint="3F"/>
      </w:tcPr>
    </w:tblStylePr>
  </w:style>
  <w:style w:type="table" w:styleId="MediumList1-Accent6">
    <w:name w:val="Medium List 1 Accent 6"/>
    <w:basedOn w:val="TableNormal"/>
    <w:uiPriority w:val="65"/>
    <w:semiHidden/>
    <w:unhideWhenUsed/>
    <w:rsid w:val="007D1864"/>
    <w:pPr>
      <w:spacing w:before="0" w:after="0"/>
    </w:pPr>
    <w:rPr>
      <w:color w:val="000000" w:themeColor="text1"/>
    </w:rPr>
    <w:tblPr>
      <w:tblStyleRowBandSize w:val="1"/>
      <w:tblStyleColBandSize w:val="1"/>
      <w:tblBorders>
        <w:top w:val="single" w:sz="8" w:space="0" w:color="7C3877" w:themeColor="accent6"/>
        <w:bottom w:val="single" w:sz="8" w:space="0" w:color="7C3877" w:themeColor="accent6"/>
      </w:tblBorders>
    </w:tblPr>
    <w:tblStylePr w:type="firstRow">
      <w:rPr>
        <w:rFonts w:asciiTheme="majorHAnsi" w:eastAsiaTheme="majorEastAsia" w:hAnsiTheme="majorHAnsi" w:cstheme="majorBidi"/>
      </w:rPr>
      <w:tblPr/>
      <w:tcPr>
        <w:tcBorders>
          <w:top w:val="nil"/>
          <w:bottom w:val="single" w:sz="8" w:space="0" w:color="7C3877" w:themeColor="accent6"/>
        </w:tcBorders>
      </w:tcPr>
    </w:tblStylePr>
    <w:tblStylePr w:type="lastRow">
      <w:rPr>
        <w:b/>
        <w:bCs/>
        <w:color w:val="59595B" w:themeColor="text2"/>
      </w:rPr>
      <w:tblPr/>
      <w:tcPr>
        <w:tcBorders>
          <w:top w:val="single" w:sz="8" w:space="0" w:color="7C3877" w:themeColor="accent6"/>
          <w:bottom w:val="single" w:sz="8" w:space="0" w:color="7C3877" w:themeColor="accent6"/>
        </w:tcBorders>
      </w:tcPr>
    </w:tblStylePr>
    <w:tblStylePr w:type="firstCol">
      <w:rPr>
        <w:b/>
        <w:bCs/>
      </w:rPr>
    </w:tblStylePr>
    <w:tblStylePr w:type="lastCol">
      <w:rPr>
        <w:b/>
        <w:bCs/>
      </w:rPr>
      <w:tblPr/>
      <w:tcPr>
        <w:tcBorders>
          <w:top w:val="single" w:sz="8" w:space="0" w:color="7C3877" w:themeColor="accent6"/>
          <w:bottom w:val="single" w:sz="8" w:space="0" w:color="7C3877" w:themeColor="accent6"/>
        </w:tcBorders>
      </w:tcPr>
    </w:tblStylePr>
    <w:tblStylePr w:type="band1Vert">
      <w:tblPr/>
      <w:tcPr>
        <w:shd w:val="clear" w:color="auto" w:fill="E5C6E3" w:themeFill="accent6" w:themeFillTint="3F"/>
      </w:tcPr>
    </w:tblStylePr>
    <w:tblStylePr w:type="band1Horz">
      <w:tblPr/>
      <w:tcPr>
        <w:shd w:val="clear" w:color="auto" w:fill="E5C6E3" w:themeFill="accent6" w:themeFillTint="3F"/>
      </w:tcPr>
    </w:tblStylePr>
  </w:style>
  <w:style w:type="table" w:styleId="MediumList2">
    <w:name w:val="Medium List 2"/>
    <w:basedOn w:val="TableNormal"/>
    <w:uiPriority w:val="66"/>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0278AD" w:themeColor="accent1"/>
        <w:left w:val="single" w:sz="8" w:space="0" w:color="0278AD" w:themeColor="accent1"/>
        <w:bottom w:val="single" w:sz="8" w:space="0" w:color="0278AD" w:themeColor="accent1"/>
        <w:right w:val="single" w:sz="8" w:space="0" w:color="0278AD" w:themeColor="accent1"/>
      </w:tblBorders>
    </w:tblPr>
    <w:tblStylePr w:type="firstRow">
      <w:rPr>
        <w:sz w:val="24"/>
        <w:szCs w:val="24"/>
      </w:rPr>
      <w:tblPr/>
      <w:tcPr>
        <w:tcBorders>
          <w:top w:val="nil"/>
          <w:left w:val="nil"/>
          <w:bottom w:val="single" w:sz="24" w:space="0" w:color="0278AD" w:themeColor="accent1"/>
          <w:right w:val="nil"/>
          <w:insideH w:val="nil"/>
          <w:insideV w:val="nil"/>
        </w:tcBorders>
        <w:shd w:val="clear" w:color="auto" w:fill="FFFFFF" w:themeFill="background1"/>
      </w:tcPr>
    </w:tblStylePr>
    <w:tblStylePr w:type="lastRow">
      <w:tblPr/>
      <w:tcPr>
        <w:tcBorders>
          <w:top w:val="single" w:sz="8" w:space="0" w:color="0278A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278AD" w:themeColor="accent1"/>
          <w:insideH w:val="nil"/>
          <w:insideV w:val="nil"/>
        </w:tcBorders>
        <w:shd w:val="clear" w:color="auto" w:fill="FFFFFF" w:themeFill="background1"/>
      </w:tcPr>
    </w:tblStylePr>
    <w:tblStylePr w:type="lastCol">
      <w:tblPr/>
      <w:tcPr>
        <w:tcBorders>
          <w:top w:val="nil"/>
          <w:left w:val="single" w:sz="8" w:space="0" w:color="0278A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E4FE" w:themeFill="accent1" w:themeFillTint="3F"/>
      </w:tcPr>
    </w:tblStylePr>
    <w:tblStylePr w:type="band1Horz">
      <w:tblPr/>
      <w:tcPr>
        <w:tcBorders>
          <w:top w:val="nil"/>
          <w:bottom w:val="nil"/>
          <w:insideH w:val="nil"/>
          <w:insideV w:val="nil"/>
        </w:tcBorders>
        <w:shd w:val="clear" w:color="auto" w:fill="ACE4F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FCB717" w:themeColor="accent2"/>
        <w:left w:val="single" w:sz="8" w:space="0" w:color="FCB717" w:themeColor="accent2"/>
        <w:bottom w:val="single" w:sz="8" w:space="0" w:color="FCB717" w:themeColor="accent2"/>
        <w:right w:val="single" w:sz="8" w:space="0" w:color="FCB717" w:themeColor="accent2"/>
      </w:tblBorders>
    </w:tblPr>
    <w:tblStylePr w:type="firstRow">
      <w:rPr>
        <w:sz w:val="24"/>
        <w:szCs w:val="24"/>
      </w:rPr>
      <w:tblPr/>
      <w:tcPr>
        <w:tcBorders>
          <w:top w:val="nil"/>
          <w:left w:val="nil"/>
          <w:bottom w:val="single" w:sz="24" w:space="0" w:color="FCB717" w:themeColor="accent2"/>
          <w:right w:val="nil"/>
          <w:insideH w:val="nil"/>
          <w:insideV w:val="nil"/>
        </w:tcBorders>
        <w:shd w:val="clear" w:color="auto" w:fill="FFFFFF" w:themeFill="background1"/>
      </w:tcPr>
    </w:tblStylePr>
    <w:tblStylePr w:type="lastRow">
      <w:tblPr/>
      <w:tcPr>
        <w:tcBorders>
          <w:top w:val="single" w:sz="8" w:space="0" w:color="FCB717"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CB717" w:themeColor="accent2"/>
          <w:insideH w:val="nil"/>
          <w:insideV w:val="nil"/>
        </w:tcBorders>
        <w:shd w:val="clear" w:color="auto" w:fill="FFFFFF" w:themeFill="background1"/>
      </w:tcPr>
    </w:tblStylePr>
    <w:tblStylePr w:type="lastCol">
      <w:tblPr/>
      <w:tcPr>
        <w:tcBorders>
          <w:top w:val="nil"/>
          <w:left w:val="single" w:sz="8" w:space="0" w:color="FCB717"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DC5" w:themeFill="accent2" w:themeFillTint="3F"/>
      </w:tcPr>
    </w:tblStylePr>
    <w:tblStylePr w:type="band1Horz">
      <w:tblPr/>
      <w:tcPr>
        <w:tcBorders>
          <w:top w:val="nil"/>
          <w:bottom w:val="nil"/>
          <w:insideH w:val="nil"/>
          <w:insideV w:val="nil"/>
        </w:tcBorders>
        <w:shd w:val="clear" w:color="auto" w:fill="FEEDC5"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6EB444" w:themeColor="accent3"/>
        <w:left w:val="single" w:sz="8" w:space="0" w:color="6EB444" w:themeColor="accent3"/>
        <w:bottom w:val="single" w:sz="8" w:space="0" w:color="6EB444" w:themeColor="accent3"/>
        <w:right w:val="single" w:sz="8" w:space="0" w:color="6EB444" w:themeColor="accent3"/>
      </w:tblBorders>
    </w:tblPr>
    <w:tblStylePr w:type="firstRow">
      <w:rPr>
        <w:sz w:val="24"/>
        <w:szCs w:val="24"/>
      </w:rPr>
      <w:tblPr/>
      <w:tcPr>
        <w:tcBorders>
          <w:top w:val="nil"/>
          <w:left w:val="nil"/>
          <w:bottom w:val="single" w:sz="24" w:space="0" w:color="6EB444" w:themeColor="accent3"/>
          <w:right w:val="nil"/>
          <w:insideH w:val="nil"/>
          <w:insideV w:val="nil"/>
        </w:tcBorders>
        <w:shd w:val="clear" w:color="auto" w:fill="FFFFFF" w:themeFill="background1"/>
      </w:tcPr>
    </w:tblStylePr>
    <w:tblStylePr w:type="lastRow">
      <w:tblPr/>
      <w:tcPr>
        <w:tcBorders>
          <w:top w:val="single" w:sz="8" w:space="0" w:color="6EB44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EB444" w:themeColor="accent3"/>
          <w:insideH w:val="nil"/>
          <w:insideV w:val="nil"/>
        </w:tcBorders>
        <w:shd w:val="clear" w:color="auto" w:fill="FFFFFF" w:themeFill="background1"/>
      </w:tcPr>
    </w:tblStylePr>
    <w:tblStylePr w:type="lastCol">
      <w:tblPr/>
      <w:tcPr>
        <w:tcBorders>
          <w:top w:val="nil"/>
          <w:left w:val="single" w:sz="8" w:space="0" w:color="6EB44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AEDCF" w:themeFill="accent3" w:themeFillTint="3F"/>
      </w:tcPr>
    </w:tblStylePr>
    <w:tblStylePr w:type="band1Horz">
      <w:tblPr/>
      <w:tcPr>
        <w:tcBorders>
          <w:top w:val="nil"/>
          <w:bottom w:val="nil"/>
          <w:insideH w:val="nil"/>
          <w:insideV w:val="nil"/>
        </w:tcBorders>
        <w:shd w:val="clear" w:color="auto" w:fill="DAEDC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FF8000" w:themeColor="accent4"/>
        <w:left w:val="single" w:sz="8" w:space="0" w:color="FF8000" w:themeColor="accent4"/>
        <w:bottom w:val="single" w:sz="8" w:space="0" w:color="FF8000" w:themeColor="accent4"/>
        <w:right w:val="single" w:sz="8" w:space="0" w:color="FF8000" w:themeColor="accent4"/>
      </w:tblBorders>
    </w:tblPr>
    <w:tblStylePr w:type="firstRow">
      <w:rPr>
        <w:sz w:val="24"/>
        <w:szCs w:val="24"/>
      </w:rPr>
      <w:tblPr/>
      <w:tcPr>
        <w:tcBorders>
          <w:top w:val="nil"/>
          <w:left w:val="nil"/>
          <w:bottom w:val="single" w:sz="24" w:space="0" w:color="FF8000" w:themeColor="accent4"/>
          <w:right w:val="nil"/>
          <w:insideH w:val="nil"/>
          <w:insideV w:val="nil"/>
        </w:tcBorders>
        <w:shd w:val="clear" w:color="auto" w:fill="FFFFFF" w:themeFill="background1"/>
      </w:tcPr>
    </w:tblStylePr>
    <w:tblStylePr w:type="lastRow">
      <w:tblPr/>
      <w:tcPr>
        <w:tcBorders>
          <w:top w:val="single" w:sz="8" w:space="0" w:color="FF8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8000" w:themeColor="accent4"/>
          <w:insideH w:val="nil"/>
          <w:insideV w:val="nil"/>
        </w:tcBorders>
        <w:shd w:val="clear" w:color="auto" w:fill="FFFFFF" w:themeFill="background1"/>
      </w:tcPr>
    </w:tblStylePr>
    <w:tblStylePr w:type="lastCol">
      <w:tblPr/>
      <w:tcPr>
        <w:tcBorders>
          <w:top w:val="nil"/>
          <w:left w:val="single" w:sz="8" w:space="0" w:color="FF8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FC0" w:themeFill="accent4" w:themeFillTint="3F"/>
      </w:tcPr>
    </w:tblStylePr>
    <w:tblStylePr w:type="band1Horz">
      <w:tblPr/>
      <w:tcPr>
        <w:tcBorders>
          <w:top w:val="nil"/>
          <w:bottom w:val="nil"/>
          <w:insideH w:val="nil"/>
          <w:insideV w:val="nil"/>
        </w:tcBorders>
        <w:shd w:val="clear" w:color="auto" w:fill="FFD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CC003F" w:themeColor="accent5"/>
        <w:left w:val="single" w:sz="8" w:space="0" w:color="CC003F" w:themeColor="accent5"/>
        <w:bottom w:val="single" w:sz="8" w:space="0" w:color="CC003F" w:themeColor="accent5"/>
        <w:right w:val="single" w:sz="8" w:space="0" w:color="CC003F" w:themeColor="accent5"/>
      </w:tblBorders>
    </w:tblPr>
    <w:tblStylePr w:type="firstRow">
      <w:rPr>
        <w:sz w:val="24"/>
        <w:szCs w:val="24"/>
      </w:rPr>
      <w:tblPr/>
      <w:tcPr>
        <w:tcBorders>
          <w:top w:val="nil"/>
          <w:left w:val="nil"/>
          <w:bottom w:val="single" w:sz="24" w:space="0" w:color="CC003F" w:themeColor="accent5"/>
          <w:right w:val="nil"/>
          <w:insideH w:val="nil"/>
          <w:insideV w:val="nil"/>
        </w:tcBorders>
        <w:shd w:val="clear" w:color="auto" w:fill="FFFFFF" w:themeFill="background1"/>
      </w:tcPr>
    </w:tblStylePr>
    <w:tblStylePr w:type="lastRow">
      <w:tblPr/>
      <w:tcPr>
        <w:tcBorders>
          <w:top w:val="single" w:sz="8" w:space="0" w:color="CC003F"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003F" w:themeColor="accent5"/>
          <w:insideH w:val="nil"/>
          <w:insideV w:val="nil"/>
        </w:tcBorders>
        <w:shd w:val="clear" w:color="auto" w:fill="FFFFFF" w:themeFill="background1"/>
      </w:tcPr>
    </w:tblStylePr>
    <w:tblStylePr w:type="lastCol">
      <w:tblPr/>
      <w:tcPr>
        <w:tcBorders>
          <w:top w:val="nil"/>
          <w:left w:val="single" w:sz="8" w:space="0" w:color="CC003F"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B3CA" w:themeFill="accent5" w:themeFillTint="3F"/>
      </w:tcPr>
    </w:tblStylePr>
    <w:tblStylePr w:type="band1Horz">
      <w:tblPr/>
      <w:tcPr>
        <w:tcBorders>
          <w:top w:val="nil"/>
          <w:bottom w:val="nil"/>
          <w:insideH w:val="nil"/>
          <w:insideV w:val="nil"/>
        </w:tcBorders>
        <w:shd w:val="clear" w:color="auto" w:fill="FFB3C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7D1864"/>
    <w:pPr>
      <w:spacing w:before="0" w:after="0"/>
    </w:pPr>
    <w:rPr>
      <w:rFonts w:asciiTheme="majorHAnsi" w:eastAsiaTheme="majorEastAsia" w:hAnsiTheme="majorHAnsi" w:cstheme="majorBidi"/>
      <w:color w:val="000000" w:themeColor="text1"/>
    </w:rPr>
    <w:tblPr>
      <w:tblStyleRowBandSize w:val="1"/>
      <w:tblStyleColBandSize w:val="1"/>
      <w:tblBorders>
        <w:top w:val="single" w:sz="8" w:space="0" w:color="7C3877" w:themeColor="accent6"/>
        <w:left w:val="single" w:sz="8" w:space="0" w:color="7C3877" w:themeColor="accent6"/>
        <w:bottom w:val="single" w:sz="8" w:space="0" w:color="7C3877" w:themeColor="accent6"/>
        <w:right w:val="single" w:sz="8" w:space="0" w:color="7C3877" w:themeColor="accent6"/>
      </w:tblBorders>
    </w:tblPr>
    <w:tblStylePr w:type="firstRow">
      <w:rPr>
        <w:sz w:val="24"/>
        <w:szCs w:val="24"/>
      </w:rPr>
      <w:tblPr/>
      <w:tcPr>
        <w:tcBorders>
          <w:top w:val="nil"/>
          <w:left w:val="nil"/>
          <w:bottom w:val="single" w:sz="24" w:space="0" w:color="7C3877" w:themeColor="accent6"/>
          <w:right w:val="nil"/>
          <w:insideH w:val="nil"/>
          <w:insideV w:val="nil"/>
        </w:tcBorders>
        <w:shd w:val="clear" w:color="auto" w:fill="FFFFFF" w:themeFill="background1"/>
      </w:tcPr>
    </w:tblStylePr>
    <w:tblStylePr w:type="lastRow">
      <w:tblPr/>
      <w:tcPr>
        <w:tcBorders>
          <w:top w:val="single" w:sz="8" w:space="0" w:color="7C387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C3877" w:themeColor="accent6"/>
          <w:insideH w:val="nil"/>
          <w:insideV w:val="nil"/>
        </w:tcBorders>
        <w:shd w:val="clear" w:color="auto" w:fill="FFFFFF" w:themeFill="background1"/>
      </w:tcPr>
    </w:tblStylePr>
    <w:tblStylePr w:type="lastCol">
      <w:tblPr/>
      <w:tcPr>
        <w:tcBorders>
          <w:top w:val="nil"/>
          <w:left w:val="single" w:sz="8" w:space="0" w:color="7C387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C6E3" w:themeFill="accent6" w:themeFillTint="3F"/>
      </w:tcPr>
    </w:tblStylePr>
    <w:tblStylePr w:type="band1Horz">
      <w:tblPr/>
      <w:tcPr>
        <w:tcBorders>
          <w:top w:val="nil"/>
          <w:bottom w:val="nil"/>
          <w:insideH w:val="nil"/>
          <w:insideV w:val="nil"/>
        </w:tcBorders>
        <w:shd w:val="clear" w:color="auto" w:fill="E5C6E3"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7D1864"/>
    <w:pPr>
      <w:spacing w:before="0"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7D1864"/>
    <w:pPr>
      <w:spacing w:before="0" w:after="0"/>
    </w:pPr>
    <w:tblPr>
      <w:tblStyleRowBandSize w:val="1"/>
      <w:tblStyleColBandSize w:val="1"/>
      <w:tblBorders>
        <w:top w:val="single" w:sz="8" w:space="0" w:color="06AFFC" w:themeColor="accent1" w:themeTint="BF"/>
        <w:left w:val="single" w:sz="8" w:space="0" w:color="06AFFC" w:themeColor="accent1" w:themeTint="BF"/>
        <w:bottom w:val="single" w:sz="8" w:space="0" w:color="06AFFC" w:themeColor="accent1" w:themeTint="BF"/>
        <w:right w:val="single" w:sz="8" w:space="0" w:color="06AFFC" w:themeColor="accent1" w:themeTint="BF"/>
        <w:insideH w:val="single" w:sz="8" w:space="0" w:color="06AFFC" w:themeColor="accent1" w:themeTint="BF"/>
      </w:tblBorders>
    </w:tblPr>
    <w:tblStylePr w:type="firstRow">
      <w:pPr>
        <w:spacing w:before="0" w:after="0" w:line="240" w:lineRule="auto"/>
      </w:pPr>
      <w:rPr>
        <w:b/>
        <w:bCs/>
        <w:color w:val="FFFFFF" w:themeColor="background1"/>
      </w:rPr>
      <w:tblPr/>
      <w:tcPr>
        <w:tcBorders>
          <w:top w:val="single" w:sz="8" w:space="0" w:color="06AFFC" w:themeColor="accent1" w:themeTint="BF"/>
          <w:left w:val="single" w:sz="8" w:space="0" w:color="06AFFC" w:themeColor="accent1" w:themeTint="BF"/>
          <w:bottom w:val="single" w:sz="8" w:space="0" w:color="06AFFC" w:themeColor="accent1" w:themeTint="BF"/>
          <w:right w:val="single" w:sz="8" w:space="0" w:color="06AFFC" w:themeColor="accent1" w:themeTint="BF"/>
          <w:insideH w:val="nil"/>
          <w:insideV w:val="nil"/>
        </w:tcBorders>
        <w:shd w:val="clear" w:color="auto" w:fill="0278AD" w:themeFill="accent1"/>
      </w:tcPr>
    </w:tblStylePr>
    <w:tblStylePr w:type="lastRow">
      <w:pPr>
        <w:spacing w:before="0" w:after="0" w:line="240" w:lineRule="auto"/>
      </w:pPr>
      <w:rPr>
        <w:b/>
        <w:bCs/>
      </w:rPr>
      <w:tblPr/>
      <w:tcPr>
        <w:tcBorders>
          <w:top w:val="double" w:sz="6" w:space="0" w:color="06AFFC" w:themeColor="accent1" w:themeTint="BF"/>
          <w:left w:val="single" w:sz="8" w:space="0" w:color="06AFFC" w:themeColor="accent1" w:themeTint="BF"/>
          <w:bottom w:val="single" w:sz="8" w:space="0" w:color="06AFFC" w:themeColor="accent1" w:themeTint="BF"/>
          <w:right w:val="single" w:sz="8" w:space="0" w:color="06AFFC"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E4FE" w:themeFill="accent1" w:themeFillTint="3F"/>
      </w:tcPr>
    </w:tblStylePr>
    <w:tblStylePr w:type="band1Horz">
      <w:tblPr/>
      <w:tcPr>
        <w:tcBorders>
          <w:insideH w:val="nil"/>
          <w:insideV w:val="nil"/>
        </w:tcBorders>
        <w:shd w:val="clear" w:color="auto" w:fill="ACE4F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7D1864"/>
    <w:pPr>
      <w:spacing w:before="0" w:after="0"/>
    </w:pPr>
    <w:tblPr>
      <w:tblStyleRowBandSize w:val="1"/>
      <w:tblStyleColBandSize w:val="1"/>
      <w:tblBorders>
        <w:top w:val="single" w:sz="8" w:space="0" w:color="FCC850" w:themeColor="accent2" w:themeTint="BF"/>
        <w:left w:val="single" w:sz="8" w:space="0" w:color="FCC850" w:themeColor="accent2" w:themeTint="BF"/>
        <w:bottom w:val="single" w:sz="8" w:space="0" w:color="FCC850" w:themeColor="accent2" w:themeTint="BF"/>
        <w:right w:val="single" w:sz="8" w:space="0" w:color="FCC850" w:themeColor="accent2" w:themeTint="BF"/>
        <w:insideH w:val="single" w:sz="8" w:space="0" w:color="FCC850" w:themeColor="accent2" w:themeTint="BF"/>
      </w:tblBorders>
    </w:tblPr>
    <w:tblStylePr w:type="firstRow">
      <w:pPr>
        <w:spacing w:before="0" w:after="0" w:line="240" w:lineRule="auto"/>
      </w:pPr>
      <w:rPr>
        <w:b/>
        <w:bCs/>
        <w:color w:val="FFFFFF" w:themeColor="background1"/>
      </w:rPr>
      <w:tblPr/>
      <w:tcPr>
        <w:tcBorders>
          <w:top w:val="single" w:sz="8" w:space="0" w:color="FCC850" w:themeColor="accent2" w:themeTint="BF"/>
          <w:left w:val="single" w:sz="8" w:space="0" w:color="FCC850" w:themeColor="accent2" w:themeTint="BF"/>
          <w:bottom w:val="single" w:sz="8" w:space="0" w:color="FCC850" w:themeColor="accent2" w:themeTint="BF"/>
          <w:right w:val="single" w:sz="8" w:space="0" w:color="FCC850" w:themeColor="accent2" w:themeTint="BF"/>
          <w:insideH w:val="nil"/>
          <w:insideV w:val="nil"/>
        </w:tcBorders>
        <w:shd w:val="clear" w:color="auto" w:fill="FCB717" w:themeFill="accent2"/>
      </w:tcPr>
    </w:tblStylePr>
    <w:tblStylePr w:type="lastRow">
      <w:pPr>
        <w:spacing w:before="0" w:after="0" w:line="240" w:lineRule="auto"/>
      </w:pPr>
      <w:rPr>
        <w:b/>
        <w:bCs/>
      </w:rPr>
      <w:tblPr/>
      <w:tcPr>
        <w:tcBorders>
          <w:top w:val="double" w:sz="6" w:space="0" w:color="FCC850" w:themeColor="accent2" w:themeTint="BF"/>
          <w:left w:val="single" w:sz="8" w:space="0" w:color="FCC850" w:themeColor="accent2" w:themeTint="BF"/>
          <w:bottom w:val="single" w:sz="8" w:space="0" w:color="FCC850" w:themeColor="accent2" w:themeTint="BF"/>
          <w:right w:val="single" w:sz="8" w:space="0" w:color="FCC85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EEDC5" w:themeFill="accent2" w:themeFillTint="3F"/>
      </w:tcPr>
    </w:tblStylePr>
    <w:tblStylePr w:type="band1Horz">
      <w:tblPr/>
      <w:tcPr>
        <w:tcBorders>
          <w:insideH w:val="nil"/>
          <w:insideV w:val="nil"/>
        </w:tcBorders>
        <w:shd w:val="clear" w:color="auto" w:fill="FEEDC5"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7D1864"/>
    <w:pPr>
      <w:spacing w:before="0" w:after="0"/>
    </w:pPr>
    <w:tblPr>
      <w:tblStyleRowBandSize w:val="1"/>
      <w:tblStyleColBandSize w:val="1"/>
      <w:tblBorders>
        <w:top w:val="single" w:sz="8" w:space="0" w:color="91C970" w:themeColor="accent3" w:themeTint="BF"/>
        <w:left w:val="single" w:sz="8" w:space="0" w:color="91C970" w:themeColor="accent3" w:themeTint="BF"/>
        <w:bottom w:val="single" w:sz="8" w:space="0" w:color="91C970" w:themeColor="accent3" w:themeTint="BF"/>
        <w:right w:val="single" w:sz="8" w:space="0" w:color="91C970" w:themeColor="accent3" w:themeTint="BF"/>
        <w:insideH w:val="single" w:sz="8" w:space="0" w:color="91C970" w:themeColor="accent3" w:themeTint="BF"/>
      </w:tblBorders>
    </w:tblPr>
    <w:tblStylePr w:type="firstRow">
      <w:pPr>
        <w:spacing w:before="0" w:after="0" w:line="240" w:lineRule="auto"/>
      </w:pPr>
      <w:rPr>
        <w:b/>
        <w:bCs/>
        <w:color w:val="FFFFFF" w:themeColor="background1"/>
      </w:rPr>
      <w:tblPr/>
      <w:tcPr>
        <w:tcBorders>
          <w:top w:val="single" w:sz="8" w:space="0" w:color="91C970" w:themeColor="accent3" w:themeTint="BF"/>
          <w:left w:val="single" w:sz="8" w:space="0" w:color="91C970" w:themeColor="accent3" w:themeTint="BF"/>
          <w:bottom w:val="single" w:sz="8" w:space="0" w:color="91C970" w:themeColor="accent3" w:themeTint="BF"/>
          <w:right w:val="single" w:sz="8" w:space="0" w:color="91C970" w:themeColor="accent3" w:themeTint="BF"/>
          <w:insideH w:val="nil"/>
          <w:insideV w:val="nil"/>
        </w:tcBorders>
        <w:shd w:val="clear" w:color="auto" w:fill="6EB444" w:themeFill="accent3"/>
      </w:tcPr>
    </w:tblStylePr>
    <w:tblStylePr w:type="lastRow">
      <w:pPr>
        <w:spacing w:before="0" w:after="0" w:line="240" w:lineRule="auto"/>
      </w:pPr>
      <w:rPr>
        <w:b/>
        <w:bCs/>
      </w:rPr>
      <w:tblPr/>
      <w:tcPr>
        <w:tcBorders>
          <w:top w:val="double" w:sz="6" w:space="0" w:color="91C970" w:themeColor="accent3" w:themeTint="BF"/>
          <w:left w:val="single" w:sz="8" w:space="0" w:color="91C970" w:themeColor="accent3" w:themeTint="BF"/>
          <w:bottom w:val="single" w:sz="8" w:space="0" w:color="91C970" w:themeColor="accent3" w:themeTint="BF"/>
          <w:right w:val="single" w:sz="8" w:space="0" w:color="91C970" w:themeColor="accent3" w:themeTint="BF"/>
          <w:insideH w:val="nil"/>
          <w:insideV w:val="nil"/>
        </w:tcBorders>
      </w:tcPr>
    </w:tblStylePr>
    <w:tblStylePr w:type="firstCol">
      <w:rPr>
        <w:b/>
        <w:bCs/>
      </w:rPr>
    </w:tblStylePr>
    <w:tblStylePr w:type="lastCol">
      <w:rPr>
        <w:b/>
        <w:bCs/>
      </w:rPr>
    </w:tblStylePr>
    <w:tblStylePr w:type="band1Vert">
      <w:tblPr/>
      <w:tcPr>
        <w:shd w:val="clear" w:color="auto" w:fill="DAEDCF" w:themeFill="accent3" w:themeFillTint="3F"/>
      </w:tcPr>
    </w:tblStylePr>
    <w:tblStylePr w:type="band1Horz">
      <w:tblPr/>
      <w:tcPr>
        <w:tcBorders>
          <w:insideH w:val="nil"/>
          <w:insideV w:val="nil"/>
        </w:tcBorders>
        <w:shd w:val="clear" w:color="auto" w:fill="DAEDC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7D1864"/>
    <w:pPr>
      <w:spacing w:before="0" w:after="0"/>
    </w:pPr>
    <w:tblPr>
      <w:tblStyleRowBandSize w:val="1"/>
      <w:tblStyleColBandSize w:val="1"/>
      <w:tblBorders>
        <w:top w:val="single" w:sz="8" w:space="0" w:color="FF9F40" w:themeColor="accent4" w:themeTint="BF"/>
        <w:left w:val="single" w:sz="8" w:space="0" w:color="FF9F40" w:themeColor="accent4" w:themeTint="BF"/>
        <w:bottom w:val="single" w:sz="8" w:space="0" w:color="FF9F40" w:themeColor="accent4" w:themeTint="BF"/>
        <w:right w:val="single" w:sz="8" w:space="0" w:color="FF9F40" w:themeColor="accent4" w:themeTint="BF"/>
        <w:insideH w:val="single" w:sz="8" w:space="0" w:color="FF9F40" w:themeColor="accent4" w:themeTint="BF"/>
      </w:tblBorders>
    </w:tblPr>
    <w:tblStylePr w:type="firstRow">
      <w:pPr>
        <w:spacing w:before="0" w:after="0" w:line="240" w:lineRule="auto"/>
      </w:pPr>
      <w:rPr>
        <w:b/>
        <w:bCs/>
        <w:color w:val="FFFFFF" w:themeColor="background1"/>
      </w:rPr>
      <w:tblPr/>
      <w:tcPr>
        <w:tcBorders>
          <w:top w:val="single" w:sz="8" w:space="0" w:color="FF9F40" w:themeColor="accent4" w:themeTint="BF"/>
          <w:left w:val="single" w:sz="8" w:space="0" w:color="FF9F40" w:themeColor="accent4" w:themeTint="BF"/>
          <w:bottom w:val="single" w:sz="8" w:space="0" w:color="FF9F40" w:themeColor="accent4" w:themeTint="BF"/>
          <w:right w:val="single" w:sz="8" w:space="0" w:color="FF9F40" w:themeColor="accent4" w:themeTint="BF"/>
          <w:insideH w:val="nil"/>
          <w:insideV w:val="nil"/>
        </w:tcBorders>
        <w:shd w:val="clear" w:color="auto" w:fill="FF8000" w:themeFill="accent4"/>
      </w:tcPr>
    </w:tblStylePr>
    <w:tblStylePr w:type="lastRow">
      <w:pPr>
        <w:spacing w:before="0" w:after="0" w:line="240" w:lineRule="auto"/>
      </w:pPr>
      <w:rPr>
        <w:b/>
        <w:bCs/>
      </w:rPr>
      <w:tblPr/>
      <w:tcPr>
        <w:tcBorders>
          <w:top w:val="double" w:sz="6" w:space="0" w:color="FF9F40" w:themeColor="accent4" w:themeTint="BF"/>
          <w:left w:val="single" w:sz="8" w:space="0" w:color="FF9F40" w:themeColor="accent4" w:themeTint="BF"/>
          <w:bottom w:val="single" w:sz="8" w:space="0" w:color="FF9F40" w:themeColor="accent4" w:themeTint="BF"/>
          <w:right w:val="single" w:sz="8" w:space="0" w:color="FF9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DFC0" w:themeFill="accent4" w:themeFillTint="3F"/>
      </w:tcPr>
    </w:tblStylePr>
    <w:tblStylePr w:type="band1Horz">
      <w:tblPr/>
      <w:tcPr>
        <w:tcBorders>
          <w:insideH w:val="nil"/>
          <w:insideV w:val="nil"/>
        </w:tcBorders>
        <w:shd w:val="clear" w:color="auto" w:fill="FFD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7D1864"/>
    <w:pPr>
      <w:spacing w:before="0" w:after="0"/>
    </w:pPr>
    <w:tblPr>
      <w:tblStyleRowBandSize w:val="1"/>
      <w:tblStyleColBandSize w:val="1"/>
      <w:tblBorders>
        <w:top w:val="single" w:sz="8" w:space="0" w:color="FF195F" w:themeColor="accent5" w:themeTint="BF"/>
        <w:left w:val="single" w:sz="8" w:space="0" w:color="FF195F" w:themeColor="accent5" w:themeTint="BF"/>
        <w:bottom w:val="single" w:sz="8" w:space="0" w:color="FF195F" w:themeColor="accent5" w:themeTint="BF"/>
        <w:right w:val="single" w:sz="8" w:space="0" w:color="FF195F" w:themeColor="accent5" w:themeTint="BF"/>
        <w:insideH w:val="single" w:sz="8" w:space="0" w:color="FF195F" w:themeColor="accent5" w:themeTint="BF"/>
      </w:tblBorders>
    </w:tblPr>
    <w:tblStylePr w:type="firstRow">
      <w:pPr>
        <w:spacing w:before="0" w:after="0" w:line="240" w:lineRule="auto"/>
      </w:pPr>
      <w:rPr>
        <w:b/>
        <w:bCs/>
        <w:color w:val="FFFFFF" w:themeColor="background1"/>
      </w:rPr>
      <w:tblPr/>
      <w:tcPr>
        <w:tcBorders>
          <w:top w:val="single" w:sz="8" w:space="0" w:color="FF195F" w:themeColor="accent5" w:themeTint="BF"/>
          <w:left w:val="single" w:sz="8" w:space="0" w:color="FF195F" w:themeColor="accent5" w:themeTint="BF"/>
          <w:bottom w:val="single" w:sz="8" w:space="0" w:color="FF195F" w:themeColor="accent5" w:themeTint="BF"/>
          <w:right w:val="single" w:sz="8" w:space="0" w:color="FF195F" w:themeColor="accent5" w:themeTint="BF"/>
          <w:insideH w:val="nil"/>
          <w:insideV w:val="nil"/>
        </w:tcBorders>
        <w:shd w:val="clear" w:color="auto" w:fill="CC003F" w:themeFill="accent5"/>
      </w:tcPr>
    </w:tblStylePr>
    <w:tblStylePr w:type="lastRow">
      <w:pPr>
        <w:spacing w:before="0" w:after="0" w:line="240" w:lineRule="auto"/>
      </w:pPr>
      <w:rPr>
        <w:b/>
        <w:bCs/>
      </w:rPr>
      <w:tblPr/>
      <w:tcPr>
        <w:tcBorders>
          <w:top w:val="double" w:sz="6" w:space="0" w:color="FF195F" w:themeColor="accent5" w:themeTint="BF"/>
          <w:left w:val="single" w:sz="8" w:space="0" w:color="FF195F" w:themeColor="accent5" w:themeTint="BF"/>
          <w:bottom w:val="single" w:sz="8" w:space="0" w:color="FF195F" w:themeColor="accent5" w:themeTint="BF"/>
          <w:right w:val="single" w:sz="8" w:space="0" w:color="FF195F"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B3CA" w:themeFill="accent5" w:themeFillTint="3F"/>
      </w:tcPr>
    </w:tblStylePr>
    <w:tblStylePr w:type="band1Horz">
      <w:tblPr/>
      <w:tcPr>
        <w:tcBorders>
          <w:insideH w:val="nil"/>
          <w:insideV w:val="nil"/>
        </w:tcBorders>
        <w:shd w:val="clear" w:color="auto" w:fill="FFB3C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7D1864"/>
    <w:pPr>
      <w:spacing w:before="0" w:after="0"/>
    </w:pPr>
    <w:tblPr>
      <w:tblStyleRowBandSize w:val="1"/>
      <w:tblStyleColBandSize w:val="1"/>
      <w:tblBorders>
        <w:top w:val="single" w:sz="8" w:space="0" w:color="B254AB" w:themeColor="accent6" w:themeTint="BF"/>
        <w:left w:val="single" w:sz="8" w:space="0" w:color="B254AB" w:themeColor="accent6" w:themeTint="BF"/>
        <w:bottom w:val="single" w:sz="8" w:space="0" w:color="B254AB" w:themeColor="accent6" w:themeTint="BF"/>
        <w:right w:val="single" w:sz="8" w:space="0" w:color="B254AB" w:themeColor="accent6" w:themeTint="BF"/>
        <w:insideH w:val="single" w:sz="8" w:space="0" w:color="B254AB" w:themeColor="accent6" w:themeTint="BF"/>
      </w:tblBorders>
    </w:tblPr>
    <w:tblStylePr w:type="firstRow">
      <w:pPr>
        <w:spacing w:before="0" w:after="0" w:line="240" w:lineRule="auto"/>
      </w:pPr>
      <w:rPr>
        <w:b/>
        <w:bCs/>
        <w:color w:val="FFFFFF" w:themeColor="background1"/>
      </w:rPr>
      <w:tblPr/>
      <w:tcPr>
        <w:tcBorders>
          <w:top w:val="single" w:sz="8" w:space="0" w:color="B254AB" w:themeColor="accent6" w:themeTint="BF"/>
          <w:left w:val="single" w:sz="8" w:space="0" w:color="B254AB" w:themeColor="accent6" w:themeTint="BF"/>
          <w:bottom w:val="single" w:sz="8" w:space="0" w:color="B254AB" w:themeColor="accent6" w:themeTint="BF"/>
          <w:right w:val="single" w:sz="8" w:space="0" w:color="B254AB" w:themeColor="accent6" w:themeTint="BF"/>
          <w:insideH w:val="nil"/>
          <w:insideV w:val="nil"/>
        </w:tcBorders>
        <w:shd w:val="clear" w:color="auto" w:fill="7C3877" w:themeFill="accent6"/>
      </w:tcPr>
    </w:tblStylePr>
    <w:tblStylePr w:type="lastRow">
      <w:pPr>
        <w:spacing w:before="0" w:after="0" w:line="240" w:lineRule="auto"/>
      </w:pPr>
      <w:rPr>
        <w:b/>
        <w:bCs/>
      </w:rPr>
      <w:tblPr/>
      <w:tcPr>
        <w:tcBorders>
          <w:top w:val="double" w:sz="6" w:space="0" w:color="B254AB" w:themeColor="accent6" w:themeTint="BF"/>
          <w:left w:val="single" w:sz="8" w:space="0" w:color="B254AB" w:themeColor="accent6" w:themeTint="BF"/>
          <w:bottom w:val="single" w:sz="8" w:space="0" w:color="B254AB" w:themeColor="accent6" w:themeTint="BF"/>
          <w:right w:val="single" w:sz="8" w:space="0" w:color="B254AB" w:themeColor="accent6" w:themeTint="BF"/>
          <w:insideH w:val="nil"/>
          <w:insideV w:val="nil"/>
        </w:tcBorders>
      </w:tcPr>
    </w:tblStylePr>
    <w:tblStylePr w:type="firstCol">
      <w:rPr>
        <w:b/>
        <w:bCs/>
      </w:rPr>
    </w:tblStylePr>
    <w:tblStylePr w:type="lastCol">
      <w:rPr>
        <w:b/>
        <w:bCs/>
      </w:rPr>
    </w:tblStylePr>
    <w:tblStylePr w:type="band1Vert">
      <w:tblPr/>
      <w:tcPr>
        <w:shd w:val="clear" w:color="auto" w:fill="E5C6E3" w:themeFill="accent6" w:themeFillTint="3F"/>
      </w:tcPr>
    </w:tblStylePr>
    <w:tblStylePr w:type="band1Horz">
      <w:tblPr/>
      <w:tcPr>
        <w:tcBorders>
          <w:insideH w:val="nil"/>
          <w:insideV w:val="nil"/>
        </w:tcBorders>
        <w:shd w:val="clear" w:color="auto" w:fill="E5C6E3"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7D1864"/>
    <w:pPr>
      <w:spacing w:before="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7D1864"/>
    <w:pPr>
      <w:spacing w:before="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278A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278AD" w:themeFill="accent1"/>
      </w:tcPr>
    </w:tblStylePr>
    <w:tblStylePr w:type="lastCol">
      <w:rPr>
        <w:b/>
        <w:bCs/>
        <w:color w:val="FFFFFF" w:themeColor="background1"/>
      </w:rPr>
      <w:tblPr/>
      <w:tcPr>
        <w:tcBorders>
          <w:left w:val="nil"/>
          <w:right w:val="nil"/>
          <w:insideH w:val="nil"/>
          <w:insideV w:val="nil"/>
        </w:tcBorders>
        <w:shd w:val="clear" w:color="auto" w:fill="0278A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7D1864"/>
    <w:pPr>
      <w:spacing w:before="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CB717"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CB717" w:themeFill="accent2"/>
      </w:tcPr>
    </w:tblStylePr>
    <w:tblStylePr w:type="lastCol">
      <w:rPr>
        <w:b/>
        <w:bCs/>
        <w:color w:val="FFFFFF" w:themeColor="background1"/>
      </w:rPr>
      <w:tblPr/>
      <w:tcPr>
        <w:tcBorders>
          <w:left w:val="nil"/>
          <w:right w:val="nil"/>
          <w:insideH w:val="nil"/>
          <w:insideV w:val="nil"/>
        </w:tcBorders>
        <w:shd w:val="clear" w:color="auto" w:fill="FCB717"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7D1864"/>
    <w:pPr>
      <w:spacing w:before="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EB44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EB444" w:themeFill="accent3"/>
      </w:tcPr>
    </w:tblStylePr>
    <w:tblStylePr w:type="lastCol">
      <w:rPr>
        <w:b/>
        <w:bCs/>
        <w:color w:val="FFFFFF" w:themeColor="background1"/>
      </w:rPr>
      <w:tblPr/>
      <w:tcPr>
        <w:tcBorders>
          <w:left w:val="nil"/>
          <w:right w:val="nil"/>
          <w:insideH w:val="nil"/>
          <w:insideV w:val="nil"/>
        </w:tcBorders>
        <w:shd w:val="clear" w:color="auto" w:fill="6EB44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7D1864"/>
    <w:pPr>
      <w:spacing w:before="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8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8000" w:themeFill="accent4"/>
      </w:tcPr>
    </w:tblStylePr>
    <w:tblStylePr w:type="lastCol">
      <w:rPr>
        <w:b/>
        <w:bCs/>
        <w:color w:val="FFFFFF" w:themeColor="background1"/>
      </w:rPr>
      <w:tblPr/>
      <w:tcPr>
        <w:tcBorders>
          <w:left w:val="nil"/>
          <w:right w:val="nil"/>
          <w:insideH w:val="nil"/>
          <w:insideV w:val="nil"/>
        </w:tcBorders>
        <w:shd w:val="clear" w:color="auto" w:fill="FF8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7D1864"/>
    <w:pPr>
      <w:spacing w:before="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003F"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003F" w:themeFill="accent5"/>
      </w:tcPr>
    </w:tblStylePr>
    <w:tblStylePr w:type="lastCol">
      <w:rPr>
        <w:b/>
        <w:bCs/>
        <w:color w:val="FFFFFF" w:themeColor="background1"/>
      </w:rPr>
      <w:tblPr/>
      <w:tcPr>
        <w:tcBorders>
          <w:left w:val="nil"/>
          <w:right w:val="nil"/>
          <w:insideH w:val="nil"/>
          <w:insideV w:val="nil"/>
        </w:tcBorders>
        <w:shd w:val="clear" w:color="auto" w:fill="CC003F"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7D1864"/>
    <w:pPr>
      <w:spacing w:before="0"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C387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C3877" w:themeFill="accent6"/>
      </w:tcPr>
    </w:tblStylePr>
    <w:tblStylePr w:type="lastCol">
      <w:rPr>
        <w:b/>
        <w:bCs/>
        <w:color w:val="FFFFFF" w:themeColor="background1"/>
      </w:rPr>
      <w:tblPr/>
      <w:tcPr>
        <w:tcBorders>
          <w:left w:val="nil"/>
          <w:right w:val="nil"/>
          <w:insideH w:val="nil"/>
          <w:insideV w:val="nil"/>
        </w:tcBorders>
        <w:shd w:val="clear" w:color="auto" w:fill="7C387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7D1864"/>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7D1864"/>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semiHidden/>
    <w:rsid w:val="007D1864"/>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7D1864"/>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7D1864"/>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uiPriority w:val="99"/>
    <w:semiHidden/>
    <w:unhideWhenUsed/>
    <w:rsid w:val="007D1864"/>
    <w:pPr>
      <w:spacing w:before="0" w:after="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7D1864"/>
    <w:pPr>
      <w:spacing w:before="0" w:after="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7D1864"/>
    <w:pPr>
      <w:spacing w:before="0" w:after="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7D1864"/>
    <w:pPr>
      <w:spacing w:before="0" w:after="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7D1864"/>
    <w:pPr>
      <w:spacing w:before="0" w:after="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7D1864"/>
    <w:pPr>
      <w:spacing w:before="0" w:after="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7D1864"/>
    <w:pPr>
      <w:spacing w:before="0" w:after="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7D1864"/>
    <w:pPr>
      <w:spacing w:before="0" w:after="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7D1864"/>
    <w:pPr>
      <w:spacing w:before="0" w:after="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7D1864"/>
    <w:pPr>
      <w:spacing w:before="0" w:after="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7D1864"/>
    <w:pPr>
      <w:spacing w:before="0" w:after="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7D1864"/>
    <w:pPr>
      <w:spacing w:before="0" w:after="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7D1864"/>
    <w:pPr>
      <w:spacing w:before="0" w:after="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7D1864"/>
    <w:pPr>
      <w:spacing w:before="0" w:after="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7D1864"/>
    <w:pPr>
      <w:spacing w:before="0" w:after="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7D1864"/>
    <w:pPr>
      <w:spacing w:before="0" w:after="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7D1864"/>
    <w:pPr>
      <w:spacing w:before="0" w:after="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7D1864"/>
    <w:pPr>
      <w:spacing w:before="0" w:after="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7D1864"/>
    <w:pPr>
      <w:spacing w:before="0" w:after="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7D1864"/>
    <w:pPr>
      <w:spacing w:before="0" w:after="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7D1864"/>
    <w:pPr>
      <w:spacing w:before="0" w:after="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7D1864"/>
    <w:pPr>
      <w:spacing w:before="0" w:after="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7D1864"/>
    <w:pPr>
      <w:spacing w:before="0" w:after="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7D1864"/>
    <w:pPr>
      <w:spacing w:before="0" w:after="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7D1864"/>
    <w:pPr>
      <w:spacing w:before="0" w:after="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semiHidden/>
    <w:rsid w:val="007D1864"/>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7D1864"/>
    <w:pPr>
      <w:spacing w:before="0" w:after="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7D1864"/>
    <w:pPr>
      <w:spacing w:before="0" w:after="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7D1864"/>
    <w:pPr>
      <w:spacing w:before="0" w:after="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7D1864"/>
    <w:pPr>
      <w:spacing w:before="0" w:after="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7D1864"/>
    <w:pPr>
      <w:spacing w:before="0" w:after="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7D1864"/>
    <w:pPr>
      <w:spacing w:before="0" w:after="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7D1864"/>
    <w:pPr>
      <w:spacing w:before="0" w:after="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7D1864"/>
    <w:pPr>
      <w:spacing w:before="0" w:after="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7D1864"/>
    <w:pPr>
      <w:spacing w:before="0" w:after="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7D1864"/>
    <w:pPr>
      <w:spacing w:before="0" w:after="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7D1864"/>
    <w:pPr>
      <w:spacing w:before="0" w:after="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7D1864"/>
    <w:pPr>
      <w:spacing w:before="0" w:after="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7D1864"/>
    <w:pPr>
      <w:spacing w:before="0" w:after="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7D1864"/>
    <w:pPr>
      <w:spacing w:before="0" w:after="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7D1864"/>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7D1864"/>
    <w:pPr>
      <w:spacing w:before="0" w:after="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7D1864"/>
    <w:pPr>
      <w:spacing w:before="0" w:after="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7D1864"/>
    <w:pPr>
      <w:spacing w:before="0" w:after="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Heading2">
    <w:name w:val="TOC Heading 2"/>
    <w:basedOn w:val="AltHeading3"/>
    <w:uiPriority w:val="99"/>
    <w:semiHidden/>
    <w:qFormat/>
    <w:rsid w:val="00B701C1"/>
  </w:style>
  <w:style w:type="character" w:customStyle="1" w:styleId="Uppercase">
    <w:name w:val="Uppercase"/>
    <w:basedOn w:val="DefaultParagraphFont"/>
    <w:uiPriority w:val="99"/>
    <w:qFormat/>
    <w:rsid w:val="00987A23"/>
    <w:rPr>
      <w:caps/>
      <w:smallCaps w:val="0"/>
    </w:rPr>
  </w:style>
  <w:style w:type="paragraph" w:customStyle="1" w:styleId="AppFigureCaption">
    <w:name w:val="App Figure Caption"/>
    <w:basedOn w:val="FigureCaption"/>
    <w:next w:val="BodyText"/>
    <w:uiPriority w:val="7"/>
    <w:qFormat/>
    <w:rsid w:val="002F23D2"/>
    <w:rPr>
      <w:lang w:eastAsia="en-AU"/>
    </w:rPr>
  </w:style>
  <w:style w:type="paragraph" w:customStyle="1" w:styleId="AppTableCaption">
    <w:name w:val="App Table Caption"/>
    <w:basedOn w:val="TableCaption"/>
    <w:uiPriority w:val="9"/>
    <w:qFormat/>
    <w:rsid w:val="002F23D2"/>
  </w:style>
  <w:style w:type="table" w:customStyle="1" w:styleId="BlueTable4">
    <w:name w:val="Blue Table4"/>
    <w:basedOn w:val="TableNormal"/>
    <w:uiPriority w:val="99"/>
    <w:rsid w:val="00CD4C64"/>
    <w:pPr>
      <w:spacing w:before="0" w:after="0"/>
    </w:pPr>
    <w:tblPr>
      <w:tblStyleRowBandSize w:val="1"/>
      <w:tblStyleColBandSize w:val="1"/>
      <w:tblBorders>
        <w:top w:val="single" w:sz="4" w:space="0" w:color="0278AD" w:themeColor="accent1"/>
        <w:left w:val="single" w:sz="4" w:space="0" w:color="0278AD" w:themeColor="accent1"/>
        <w:bottom w:val="single" w:sz="4" w:space="0" w:color="0278AD" w:themeColor="accent1"/>
        <w:right w:val="single" w:sz="4" w:space="0" w:color="0278AD" w:themeColor="accent1"/>
        <w:insideH w:val="single" w:sz="4" w:space="0" w:color="0278AD" w:themeColor="accent1"/>
        <w:insideV w:val="single" w:sz="4" w:space="0" w:color="0278AD" w:themeColor="accent1"/>
      </w:tblBorders>
    </w:tblPr>
    <w:trPr>
      <w:cantSplit/>
    </w:tr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0278AD" w:themeFill="accent1"/>
      </w:tcPr>
    </w:tblStylePr>
    <w:tblStylePr w:type="lastRow">
      <w:rPr>
        <w:b/>
      </w:rPr>
      <w:tblPr/>
      <w:tcPr>
        <w:shd w:val="clear" w:color="auto" w:fill="ABE4FE" w:themeFill="accent1" w:themeFillTint="40"/>
      </w:tcPr>
    </w:tblStylePr>
    <w:tblStylePr w:type="firstCol">
      <w:tblPr/>
      <w:tcPr>
        <w:tcBorders>
          <w:insideH w:val="nil"/>
        </w:tcBorders>
        <w:shd w:val="clear" w:color="auto" w:fill="0278AD" w:themeFill="accent1"/>
      </w:tcPr>
    </w:tblStylePr>
    <w:tblStylePr w:type="band2Vert">
      <w:tblPr/>
      <w:tcPr>
        <w:shd w:val="clear" w:color="auto" w:fill="DDF4FE" w:themeFill="accent1" w:themeFillTint="1A"/>
      </w:tcPr>
    </w:tblStylePr>
    <w:tblStylePr w:type="band2Horz">
      <w:tblPr/>
      <w:tcPr>
        <w:shd w:val="clear" w:color="auto" w:fill="DDF4FE" w:themeFill="accent1" w:themeFillTint="1A"/>
      </w:tcPr>
    </w:tblStylePr>
  </w:style>
  <w:style w:type="character" w:customStyle="1" w:styleId="TableCaptionChar">
    <w:name w:val="Table Caption Char"/>
    <w:basedOn w:val="DefaultParagraphFont"/>
    <w:link w:val="TableCaption"/>
    <w:uiPriority w:val="11"/>
    <w:rsid w:val="005E417D"/>
    <w:rPr>
      <w:b/>
      <w:color w:val="595959" w:themeColor="text1" w:themeTint="A6"/>
      <w:sz w:val="18"/>
    </w:rPr>
  </w:style>
  <w:style w:type="numbering" w:customStyle="1" w:styleId="ListParagraph0">
    <w:name w:val="List Paragraph0"/>
    <w:uiPriority w:val="99"/>
    <w:rsid w:val="000D1D20"/>
    <w:pPr>
      <w:numPr>
        <w:numId w:val="4"/>
      </w:numPr>
    </w:pPr>
  </w:style>
  <w:style w:type="paragraph" w:styleId="CommentSubject">
    <w:name w:val="annotation subject"/>
    <w:basedOn w:val="CommentText"/>
    <w:next w:val="CommentText"/>
    <w:link w:val="CommentSubjectChar"/>
    <w:uiPriority w:val="99"/>
    <w:semiHidden/>
    <w:unhideWhenUsed/>
    <w:rsid w:val="000D1D20"/>
    <w:rPr>
      <w:b/>
      <w:bCs/>
    </w:rPr>
  </w:style>
  <w:style w:type="character" w:customStyle="1" w:styleId="CommentSubjectChar">
    <w:name w:val="Comment Subject Char"/>
    <w:basedOn w:val="CommentTextChar"/>
    <w:link w:val="CommentSubject"/>
    <w:uiPriority w:val="99"/>
    <w:semiHidden/>
    <w:rsid w:val="000D1D20"/>
    <w:rPr>
      <w:b/>
      <w:bCs/>
      <w:sz w:val="20"/>
      <w:szCs w:val="20"/>
    </w:rPr>
  </w:style>
  <w:style w:type="character" w:styleId="UnresolvedMention">
    <w:name w:val="Unresolved Mention"/>
    <w:basedOn w:val="DefaultParagraphFont"/>
    <w:uiPriority w:val="99"/>
    <w:semiHidden/>
    <w:unhideWhenUsed/>
    <w:rsid w:val="000D1D20"/>
    <w:rPr>
      <w:color w:val="605E5C"/>
      <w:shd w:val="clear" w:color="auto" w:fill="E1DFDD"/>
    </w:rPr>
  </w:style>
  <w:style w:type="paragraph" w:styleId="Revision">
    <w:name w:val="Revision"/>
    <w:hidden/>
    <w:uiPriority w:val="99"/>
    <w:semiHidden/>
    <w:rsid w:val="000D1D20"/>
    <w:pPr>
      <w:spacing w:before="0" w:after="0"/>
    </w:pPr>
    <w:rPr>
      <w:sz w:val="20"/>
    </w:rPr>
  </w:style>
  <w:style w:type="paragraph" w:styleId="NormalWeb">
    <w:name w:val="Normal (Web)"/>
    <w:basedOn w:val="Normal"/>
    <w:uiPriority w:val="99"/>
    <w:semiHidden/>
    <w:unhideWhenUsed/>
    <w:rsid w:val="00AF09A2"/>
    <w:pPr>
      <w:spacing w:before="100" w:beforeAutospacing="1" w:after="100" w:afterAutospacing="1"/>
    </w:pPr>
    <w:rPr>
      <w:rFonts w:ascii="Times New Roman" w:eastAsia="Times New Roman" w:hAnsi="Times New Roman" w:cs="Times New Roman"/>
      <w:sz w:val="24"/>
      <w:szCs w:val="24"/>
      <w:lang w:eastAsia="en-AU"/>
    </w:rPr>
  </w:style>
  <w:style w:type="paragraph" w:styleId="FootnoteText">
    <w:name w:val="footnote text"/>
    <w:basedOn w:val="Normal"/>
    <w:link w:val="FootnoteTextChar"/>
    <w:uiPriority w:val="99"/>
    <w:semiHidden/>
    <w:unhideWhenUsed/>
    <w:rsid w:val="004D0255"/>
    <w:rPr>
      <w:szCs w:val="20"/>
    </w:rPr>
  </w:style>
  <w:style w:type="character" w:customStyle="1" w:styleId="FootnoteTextChar">
    <w:name w:val="Footnote Text Char"/>
    <w:basedOn w:val="DefaultParagraphFont"/>
    <w:link w:val="FootnoteText"/>
    <w:uiPriority w:val="99"/>
    <w:semiHidden/>
    <w:rsid w:val="004D0255"/>
    <w:rPr>
      <w:sz w:val="20"/>
      <w:szCs w:val="20"/>
    </w:rPr>
  </w:style>
  <w:style w:type="character" w:styleId="FootnoteReference">
    <w:name w:val="footnote reference"/>
    <w:basedOn w:val="DefaultParagraphFont"/>
    <w:uiPriority w:val="99"/>
    <w:semiHidden/>
    <w:unhideWhenUsed/>
    <w:rsid w:val="004D025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4814004">
      <w:bodyDiv w:val="1"/>
      <w:marLeft w:val="0"/>
      <w:marRight w:val="0"/>
      <w:marTop w:val="0"/>
      <w:marBottom w:val="0"/>
      <w:divBdr>
        <w:top w:val="none" w:sz="0" w:space="0" w:color="auto"/>
        <w:left w:val="none" w:sz="0" w:space="0" w:color="auto"/>
        <w:bottom w:val="none" w:sz="0" w:space="0" w:color="auto"/>
        <w:right w:val="none" w:sz="0" w:space="0" w:color="auto"/>
      </w:divBdr>
    </w:div>
    <w:div w:id="430704670">
      <w:bodyDiv w:val="1"/>
      <w:marLeft w:val="0"/>
      <w:marRight w:val="0"/>
      <w:marTop w:val="0"/>
      <w:marBottom w:val="0"/>
      <w:divBdr>
        <w:top w:val="none" w:sz="0" w:space="0" w:color="auto"/>
        <w:left w:val="none" w:sz="0" w:space="0" w:color="auto"/>
        <w:bottom w:val="none" w:sz="0" w:space="0" w:color="auto"/>
        <w:right w:val="none" w:sz="0" w:space="0" w:color="auto"/>
      </w:divBdr>
    </w:div>
    <w:div w:id="468941425">
      <w:bodyDiv w:val="1"/>
      <w:marLeft w:val="0"/>
      <w:marRight w:val="0"/>
      <w:marTop w:val="0"/>
      <w:marBottom w:val="0"/>
      <w:divBdr>
        <w:top w:val="none" w:sz="0" w:space="0" w:color="auto"/>
        <w:left w:val="none" w:sz="0" w:space="0" w:color="auto"/>
        <w:bottom w:val="none" w:sz="0" w:space="0" w:color="auto"/>
        <w:right w:val="none" w:sz="0" w:space="0" w:color="auto"/>
      </w:divBdr>
    </w:div>
    <w:div w:id="608587897">
      <w:bodyDiv w:val="1"/>
      <w:marLeft w:val="0"/>
      <w:marRight w:val="0"/>
      <w:marTop w:val="0"/>
      <w:marBottom w:val="0"/>
      <w:divBdr>
        <w:top w:val="none" w:sz="0" w:space="0" w:color="auto"/>
        <w:left w:val="none" w:sz="0" w:space="0" w:color="auto"/>
        <w:bottom w:val="none" w:sz="0" w:space="0" w:color="auto"/>
        <w:right w:val="none" w:sz="0" w:space="0" w:color="auto"/>
      </w:divBdr>
    </w:div>
    <w:div w:id="618419027">
      <w:bodyDiv w:val="1"/>
      <w:marLeft w:val="0"/>
      <w:marRight w:val="0"/>
      <w:marTop w:val="0"/>
      <w:marBottom w:val="0"/>
      <w:divBdr>
        <w:top w:val="none" w:sz="0" w:space="0" w:color="auto"/>
        <w:left w:val="none" w:sz="0" w:space="0" w:color="auto"/>
        <w:bottom w:val="none" w:sz="0" w:space="0" w:color="auto"/>
        <w:right w:val="none" w:sz="0" w:space="0" w:color="auto"/>
      </w:divBdr>
    </w:div>
    <w:div w:id="681400060">
      <w:bodyDiv w:val="1"/>
      <w:marLeft w:val="0"/>
      <w:marRight w:val="0"/>
      <w:marTop w:val="0"/>
      <w:marBottom w:val="0"/>
      <w:divBdr>
        <w:top w:val="none" w:sz="0" w:space="0" w:color="auto"/>
        <w:left w:val="none" w:sz="0" w:space="0" w:color="auto"/>
        <w:bottom w:val="none" w:sz="0" w:space="0" w:color="auto"/>
        <w:right w:val="none" w:sz="0" w:space="0" w:color="auto"/>
      </w:divBdr>
    </w:div>
    <w:div w:id="848910037">
      <w:bodyDiv w:val="1"/>
      <w:marLeft w:val="0"/>
      <w:marRight w:val="0"/>
      <w:marTop w:val="0"/>
      <w:marBottom w:val="0"/>
      <w:divBdr>
        <w:top w:val="none" w:sz="0" w:space="0" w:color="auto"/>
        <w:left w:val="none" w:sz="0" w:space="0" w:color="auto"/>
        <w:bottom w:val="none" w:sz="0" w:space="0" w:color="auto"/>
        <w:right w:val="none" w:sz="0" w:space="0" w:color="auto"/>
      </w:divBdr>
    </w:div>
    <w:div w:id="879441901">
      <w:bodyDiv w:val="1"/>
      <w:marLeft w:val="0"/>
      <w:marRight w:val="0"/>
      <w:marTop w:val="0"/>
      <w:marBottom w:val="0"/>
      <w:divBdr>
        <w:top w:val="none" w:sz="0" w:space="0" w:color="auto"/>
        <w:left w:val="none" w:sz="0" w:space="0" w:color="auto"/>
        <w:bottom w:val="none" w:sz="0" w:space="0" w:color="auto"/>
        <w:right w:val="none" w:sz="0" w:space="0" w:color="auto"/>
      </w:divBdr>
    </w:div>
    <w:div w:id="886452904">
      <w:bodyDiv w:val="1"/>
      <w:marLeft w:val="0"/>
      <w:marRight w:val="0"/>
      <w:marTop w:val="0"/>
      <w:marBottom w:val="0"/>
      <w:divBdr>
        <w:top w:val="none" w:sz="0" w:space="0" w:color="auto"/>
        <w:left w:val="none" w:sz="0" w:space="0" w:color="auto"/>
        <w:bottom w:val="none" w:sz="0" w:space="0" w:color="auto"/>
        <w:right w:val="none" w:sz="0" w:space="0" w:color="auto"/>
      </w:divBdr>
    </w:div>
    <w:div w:id="887572415">
      <w:bodyDiv w:val="1"/>
      <w:marLeft w:val="0"/>
      <w:marRight w:val="0"/>
      <w:marTop w:val="0"/>
      <w:marBottom w:val="0"/>
      <w:divBdr>
        <w:top w:val="none" w:sz="0" w:space="0" w:color="auto"/>
        <w:left w:val="none" w:sz="0" w:space="0" w:color="auto"/>
        <w:bottom w:val="none" w:sz="0" w:space="0" w:color="auto"/>
        <w:right w:val="none" w:sz="0" w:space="0" w:color="auto"/>
      </w:divBdr>
    </w:div>
    <w:div w:id="1041631072">
      <w:bodyDiv w:val="1"/>
      <w:marLeft w:val="0"/>
      <w:marRight w:val="0"/>
      <w:marTop w:val="0"/>
      <w:marBottom w:val="0"/>
      <w:divBdr>
        <w:top w:val="none" w:sz="0" w:space="0" w:color="auto"/>
        <w:left w:val="none" w:sz="0" w:space="0" w:color="auto"/>
        <w:bottom w:val="none" w:sz="0" w:space="0" w:color="auto"/>
        <w:right w:val="none" w:sz="0" w:space="0" w:color="auto"/>
      </w:divBdr>
    </w:div>
    <w:div w:id="1221672478">
      <w:bodyDiv w:val="1"/>
      <w:marLeft w:val="0"/>
      <w:marRight w:val="0"/>
      <w:marTop w:val="0"/>
      <w:marBottom w:val="0"/>
      <w:divBdr>
        <w:top w:val="none" w:sz="0" w:space="0" w:color="auto"/>
        <w:left w:val="none" w:sz="0" w:space="0" w:color="auto"/>
        <w:bottom w:val="none" w:sz="0" w:space="0" w:color="auto"/>
        <w:right w:val="none" w:sz="0" w:space="0" w:color="auto"/>
      </w:divBdr>
    </w:div>
    <w:div w:id="1518495275">
      <w:bodyDiv w:val="1"/>
      <w:marLeft w:val="0"/>
      <w:marRight w:val="0"/>
      <w:marTop w:val="0"/>
      <w:marBottom w:val="0"/>
      <w:divBdr>
        <w:top w:val="none" w:sz="0" w:space="0" w:color="auto"/>
        <w:left w:val="none" w:sz="0" w:space="0" w:color="auto"/>
        <w:bottom w:val="none" w:sz="0" w:space="0" w:color="auto"/>
        <w:right w:val="none" w:sz="0" w:space="0" w:color="auto"/>
      </w:divBdr>
    </w:div>
    <w:div w:id="1529834243">
      <w:bodyDiv w:val="1"/>
      <w:marLeft w:val="0"/>
      <w:marRight w:val="0"/>
      <w:marTop w:val="0"/>
      <w:marBottom w:val="0"/>
      <w:divBdr>
        <w:top w:val="none" w:sz="0" w:space="0" w:color="auto"/>
        <w:left w:val="none" w:sz="0" w:space="0" w:color="auto"/>
        <w:bottom w:val="none" w:sz="0" w:space="0" w:color="auto"/>
        <w:right w:val="none" w:sz="0" w:space="0" w:color="auto"/>
      </w:divBdr>
    </w:div>
    <w:div w:id="1787651606">
      <w:bodyDiv w:val="1"/>
      <w:marLeft w:val="0"/>
      <w:marRight w:val="0"/>
      <w:marTop w:val="0"/>
      <w:marBottom w:val="0"/>
      <w:divBdr>
        <w:top w:val="none" w:sz="0" w:space="0" w:color="auto"/>
        <w:left w:val="none" w:sz="0" w:space="0" w:color="auto"/>
        <w:bottom w:val="none" w:sz="0" w:space="0" w:color="auto"/>
        <w:right w:val="none" w:sz="0" w:space="0" w:color="auto"/>
      </w:divBdr>
    </w:div>
    <w:div w:id="1972593146">
      <w:bodyDiv w:val="1"/>
      <w:marLeft w:val="0"/>
      <w:marRight w:val="0"/>
      <w:marTop w:val="0"/>
      <w:marBottom w:val="0"/>
      <w:divBdr>
        <w:top w:val="none" w:sz="0" w:space="0" w:color="auto"/>
        <w:left w:val="none" w:sz="0" w:space="0" w:color="auto"/>
        <w:bottom w:val="none" w:sz="0" w:space="0" w:color="auto"/>
        <w:right w:val="none" w:sz="0" w:space="0" w:color="auto"/>
      </w:divBdr>
    </w:div>
    <w:div w:id="2054309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3.xml"/><Relationship Id="rId42" Type="http://schemas.openxmlformats.org/officeDocument/2006/relationships/footer" Target="footer8.xml"/><Relationship Id="rId47" Type="http://schemas.openxmlformats.org/officeDocument/2006/relationships/header" Target="header11.xml"/><Relationship Id="rId63" Type="http://schemas.openxmlformats.org/officeDocument/2006/relationships/image" Target="media/image14.jpeg"/><Relationship Id="rId68" Type="http://schemas.openxmlformats.org/officeDocument/2006/relationships/footer" Target="footer21.xml"/><Relationship Id="rId84" Type="http://schemas.openxmlformats.org/officeDocument/2006/relationships/image" Target="media/image26.jpeg"/><Relationship Id="rId89" Type="http://schemas.openxmlformats.org/officeDocument/2006/relationships/footer" Target="footer26.xml"/><Relationship Id="rId16" Type="http://schemas.openxmlformats.org/officeDocument/2006/relationships/image" Target="media/image6.png"/><Relationship Id="rId11" Type="http://schemas.openxmlformats.org/officeDocument/2006/relationships/image" Target="media/image2.png"/><Relationship Id="rId32" Type="http://schemas.openxmlformats.org/officeDocument/2006/relationships/header" Target="header7.xml"/><Relationship Id="rId37" Type="http://schemas.openxmlformats.org/officeDocument/2006/relationships/diagramQuickStyle" Target="diagrams/quickStyle1.xml"/><Relationship Id="rId53" Type="http://schemas.openxmlformats.org/officeDocument/2006/relationships/header" Target="header14.xml"/><Relationship Id="rId58" Type="http://schemas.openxmlformats.org/officeDocument/2006/relationships/footer" Target="footer17.xml"/><Relationship Id="rId74" Type="http://schemas.openxmlformats.org/officeDocument/2006/relationships/footer" Target="footer22.xml"/><Relationship Id="rId79" Type="http://schemas.openxmlformats.org/officeDocument/2006/relationships/image" Target="media/image21.jpeg"/><Relationship Id="rId102" Type="http://schemas.openxmlformats.org/officeDocument/2006/relationships/theme" Target="theme/theme1.xml"/><Relationship Id="rId5" Type="http://schemas.openxmlformats.org/officeDocument/2006/relationships/styles" Target="styles.xml"/><Relationship Id="rId90" Type="http://schemas.openxmlformats.org/officeDocument/2006/relationships/header" Target="header21.xml"/><Relationship Id="rId95" Type="http://schemas.openxmlformats.org/officeDocument/2006/relationships/header" Target="header23.xml"/><Relationship Id="rId22" Type="http://schemas.openxmlformats.org/officeDocument/2006/relationships/header" Target="header4.xml"/><Relationship Id="rId27" Type="http://schemas.openxmlformats.org/officeDocument/2006/relationships/image" Target="media/image10.png"/><Relationship Id="rId43" Type="http://schemas.openxmlformats.org/officeDocument/2006/relationships/footer" Target="footer9.xml"/><Relationship Id="rId48" Type="http://schemas.openxmlformats.org/officeDocument/2006/relationships/header" Target="header12.xml"/><Relationship Id="rId64" Type="http://schemas.openxmlformats.org/officeDocument/2006/relationships/image" Target="media/image15.png"/><Relationship Id="rId69" Type="http://schemas.openxmlformats.org/officeDocument/2006/relationships/image" Target="media/image17.png"/><Relationship Id="rId80" Type="http://schemas.openxmlformats.org/officeDocument/2006/relationships/image" Target="media/image22.jpeg"/><Relationship Id="rId85" Type="http://schemas.openxmlformats.org/officeDocument/2006/relationships/image" Target="media/image27.jpeg"/><Relationship Id="rId12" Type="http://schemas.openxmlformats.org/officeDocument/2006/relationships/header" Target="header1.xml"/><Relationship Id="rId17" Type="http://schemas.openxmlformats.org/officeDocument/2006/relationships/image" Target="media/image7.png"/><Relationship Id="rId25" Type="http://schemas.openxmlformats.org/officeDocument/2006/relationships/header" Target="header5.xml"/><Relationship Id="rId33" Type="http://schemas.openxmlformats.org/officeDocument/2006/relationships/footer" Target="footer7.xml"/><Relationship Id="rId38" Type="http://schemas.openxmlformats.org/officeDocument/2006/relationships/diagramColors" Target="diagrams/colors1.xml"/><Relationship Id="rId46" Type="http://schemas.openxmlformats.org/officeDocument/2006/relationships/image" Target="media/image13.png"/><Relationship Id="rId59" Type="http://schemas.openxmlformats.org/officeDocument/2006/relationships/footer" Target="footer18.xml"/><Relationship Id="rId67" Type="http://schemas.openxmlformats.org/officeDocument/2006/relationships/footer" Target="footer20.xml"/><Relationship Id="rId20" Type="http://schemas.openxmlformats.org/officeDocument/2006/relationships/image" Target="media/image9.jpeg"/><Relationship Id="rId41" Type="http://schemas.openxmlformats.org/officeDocument/2006/relationships/header" Target="header9.xml"/><Relationship Id="rId54" Type="http://schemas.openxmlformats.org/officeDocument/2006/relationships/footer" Target="footer14.xml"/><Relationship Id="rId62" Type="http://schemas.openxmlformats.org/officeDocument/2006/relationships/hyperlink" Target="https://nema.gov.au/programs/disaster-ready-fund/round-two" TargetMode="External"/><Relationship Id="rId70" Type="http://schemas.openxmlformats.org/officeDocument/2006/relationships/image" Target="media/image18.jpeg"/><Relationship Id="rId75" Type="http://schemas.openxmlformats.org/officeDocument/2006/relationships/footer" Target="footer23.xml"/><Relationship Id="rId83" Type="http://schemas.openxmlformats.org/officeDocument/2006/relationships/image" Target="media/image25.jpeg"/><Relationship Id="rId88" Type="http://schemas.openxmlformats.org/officeDocument/2006/relationships/footer" Target="footer25.xml"/><Relationship Id="rId91" Type="http://schemas.openxmlformats.org/officeDocument/2006/relationships/footer" Target="footer27.xml"/><Relationship Id="rId96" Type="http://schemas.openxmlformats.org/officeDocument/2006/relationships/footer" Target="footer28.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footer" Target="footer2.xml"/><Relationship Id="rId28" Type="http://schemas.openxmlformats.org/officeDocument/2006/relationships/image" Target="media/image11.png"/><Relationship Id="rId36" Type="http://schemas.openxmlformats.org/officeDocument/2006/relationships/diagramLayout" Target="diagrams/layout1.xml"/><Relationship Id="rId49" Type="http://schemas.openxmlformats.org/officeDocument/2006/relationships/footer" Target="footer11.xml"/><Relationship Id="rId57" Type="http://schemas.openxmlformats.org/officeDocument/2006/relationships/footer" Target="footer16.xml"/><Relationship Id="rId10" Type="http://schemas.openxmlformats.org/officeDocument/2006/relationships/image" Target="media/image1.png"/><Relationship Id="rId31" Type="http://schemas.openxmlformats.org/officeDocument/2006/relationships/footer" Target="footer6.xml"/><Relationship Id="rId44" Type="http://schemas.openxmlformats.org/officeDocument/2006/relationships/header" Target="header10.xml"/><Relationship Id="rId52" Type="http://schemas.openxmlformats.org/officeDocument/2006/relationships/footer" Target="footer13.xml"/><Relationship Id="rId60" Type="http://schemas.openxmlformats.org/officeDocument/2006/relationships/hyperlink" Target="https://www.wa.gov.au/government/document-collections/coastwa-grants" TargetMode="External"/><Relationship Id="rId65" Type="http://schemas.openxmlformats.org/officeDocument/2006/relationships/image" Target="media/image16.png"/><Relationship Id="rId73" Type="http://schemas.openxmlformats.org/officeDocument/2006/relationships/header" Target="header17.xml"/><Relationship Id="rId78" Type="http://schemas.openxmlformats.org/officeDocument/2006/relationships/image" Target="media/image20.jpeg"/><Relationship Id="rId81" Type="http://schemas.openxmlformats.org/officeDocument/2006/relationships/image" Target="media/image23.jpeg"/><Relationship Id="rId86" Type="http://schemas.openxmlformats.org/officeDocument/2006/relationships/header" Target="header19.xml"/><Relationship Id="rId94" Type="http://schemas.openxmlformats.org/officeDocument/2006/relationships/header" Target="header22.xml"/><Relationship Id="rId99" Type="http://schemas.openxmlformats.org/officeDocument/2006/relationships/footer" Target="footer30.xml"/><Relationship Id="rId101" Type="http://schemas.openxmlformats.org/officeDocument/2006/relationships/glossaryDocument" Target="glossary/document.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8.png"/><Relationship Id="rId39" Type="http://schemas.microsoft.com/office/2007/relationships/diagramDrawing" Target="diagrams/drawing1.xml"/><Relationship Id="rId34" Type="http://schemas.openxmlformats.org/officeDocument/2006/relationships/image" Target="media/image12.png"/><Relationship Id="rId50" Type="http://schemas.openxmlformats.org/officeDocument/2006/relationships/footer" Target="footer12.xml"/><Relationship Id="rId55" Type="http://schemas.openxmlformats.org/officeDocument/2006/relationships/footer" Target="footer15.xml"/><Relationship Id="rId76" Type="http://schemas.openxmlformats.org/officeDocument/2006/relationships/header" Target="header18.xml"/><Relationship Id="rId97" Type="http://schemas.openxmlformats.org/officeDocument/2006/relationships/footer" Target="footer29.xml"/><Relationship Id="rId7" Type="http://schemas.openxmlformats.org/officeDocument/2006/relationships/webSettings" Target="webSettings.xml"/><Relationship Id="rId71" Type="http://schemas.openxmlformats.org/officeDocument/2006/relationships/image" Target="media/image19.jpeg"/><Relationship Id="rId92" Type="http://schemas.openxmlformats.org/officeDocument/2006/relationships/image" Target="media/image28.png"/><Relationship Id="rId2" Type="http://schemas.openxmlformats.org/officeDocument/2006/relationships/customXml" Target="../customXml/item2.xml"/><Relationship Id="rId29" Type="http://schemas.openxmlformats.org/officeDocument/2006/relationships/header" Target="header6.xml"/><Relationship Id="rId24" Type="http://schemas.openxmlformats.org/officeDocument/2006/relationships/footer" Target="footer3.xml"/><Relationship Id="rId40" Type="http://schemas.openxmlformats.org/officeDocument/2006/relationships/header" Target="header8.xml"/><Relationship Id="rId45" Type="http://schemas.openxmlformats.org/officeDocument/2006/relationships/footer" Target="footer10.xml"/><Relationship Id="rId66" Type="http://schemas.openxmlformats.org/officeDocument/2006/relationships/footer" Target="footer19.xml"/><Relationship Id="rId87" Type="http://schemas.openxmlformats.org/officeDocument/2006/relationships/header" Target="header20.xml"/><Relationship Id="rId61" Type="http://schemas.openxmlformats.org/officeDocument/2006/relationships/hyperlink" Target="https://www.dlgsc.wa.gov.au/local-government/local-governments/financial-assistance-grants" TargetMode="External"/><Relationship Id="rId82" Type="http://schemas.openxmlformats.org/officeDocument/2006/relationships/image" Target="media/image24.jpeg"/><Relationship Id="rId19" Type="http://schemas.openxmlformats.org/officeDocument/2006/relationships/image" Target="cid:image004.png@01D9F2DE.E78E1450" TargetMode="External"/><Relationship Id="rId14" Type="http://schemas.openxmlformats.org/officeDocument/2006/relationships/header" Target="header2.xml"/><Relationship Id="rId30" Type="http://schemas.openxmlformats.org/officeDocument/2006/relationships/footer" Target="footer5.xml"/><Relationship Id="rId35" Type="http://schemas.openxmlformats.org/officeDocument/2006/relationships/diagramData" Target="diagrams/data1.xml"/><Relationship Id="rId56" Type="http://schemas.openxmlformats.org/officeDocument/2006/relationships/header" Target="header15.xml"/><Relationship Id="rId77" Type="http://schemas.openxmlformats.org/officeDocument/2006/relationships/footer" Target="footer24.xml"/><Relationship Id="rId100"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eader" Target="header13.xml"/><Relationship Id="rId72" Type="http://schemas.openxmlformats.org/officeDocument/2006/relationships/header" Target="header16.xml"/><Relationship Id="rId93" Type="http://schemas.openxmlformats.org/officeDocument/2006/relationships/hyperlink" Target="http://www.watertech.com.au/" TargetMode="External"/><Relationship Id="rId98" Type="http://schemas.openxmlformats.org/officeDocument/2006/relationships/header" Target="header24.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WaterTech_Templates\Word\Report.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07BA18-CD9A-4E76-B101-CCFBCB9C1C88}" type="doc">
      <dgm:prSet loTypeId="urn:microsoft.com/office/officeart/2005/8/layout/equation1" loCatId="relationship" qsTypeId="urn:microsoft.com/office/officeart/2005/8/quickstyle/simple1" qsCatId="simple" csTypeId="urn:microsoft.com/office/officeart/2005/8/colors/accent1_2" csCatId="accent1" phldr="1"/>
      <dgm:spPr/>
    </dgm:pt>
    <dgm:pt modelId="{9CDFA8BD-438C-4F10-8389-7AA556D34102}">
      <dgm:prSet phldrT="[Text]"/>
      <dgm:spPr/>
      <dgm:t>
        <a:bodyPr/>
        <a:lstStyle/>
        <a:p>
          <a:r>
            <a:rPr lang="en-AU"/>
            <a:t>Exposure</a:t>
          </a:r>
        </a:p>
      </dgm:t>
    </dgm:pt>
    <dgm:pt modelId="{2A3BDF4C-B628-4205-A455-BEB350B410F5}" type="parTrans" cxnId="{7A89A407-39E9-46D2-8310-B9B096D339F9}">
      <dgm:prSet/>
      <dgm:spPr/>
      <dgm:t>
        <a:bodyPr/>
        <a:lstStyle/>
        <a:p>
          <a:endParaRPr lang="en-AU"/>
        </a:p>
      </dgm:t>
    </dgm:pt>
    <dgm:pt modelId="{3851C412-12D6-498E-865B-FEAF00660EF6}" type="sibTrans" cxnId="{7A89A407-39E9-46D2-8310-B9B096D339F9}">
      <dgm:prSet/>
      <dgm:spPr/>
      <dgm:t>
        <a:bodyPr/>
        <a:lstStyle/>
        <a:p>
          <a:endParaRPr lang="en-AU"/>
        </a:p>
      </dgm:t>
    </dgm:pt>
    <dgm:pt modelId="{4B88702B-370C-4E2B-AB6C-583439CAD12B}">
      <dgm:prSet phldrT="[Text]"/>
      <dgm:spPr/>
      <dgm:t>
        <a:bodyPr/>
        <a:lstStyle/>
        <a:p>
          <a:r>
            <a:rPr lang="en-AU"/>
            <a:t>Adaptive Capacity</a:t>
          </a:r>
        </a:p>
      </dgm:t>
    </dgm:pt>
    <dgm:pt modelId="{6092C08D-83E5-46E3-A9C8-FE90A86A17B1}" type="parTrans" cxnId="{3848BF35-6F5A-4500-8F52-97B2AF569CBD}">
      <dgm:prSet/>
      <dgm:spPr/>
      <dgm:t>
        <a:bodyPr/>
        <a:lstStyle/>
        <a:p>
          <a:endParaRPr lang="en-AU"/>
        </a:p>
      </dgm:t>
    </dgm:pt>
    <dgm:pt modelId="{130DA540-9624-4C0B-A29F-FE139DB642D9}" type="sibTrans" cxnId="{3848BF35-6F5A-4500-8F52-97B2AF569CBD}">
      <dgm:prSet/>
      <dgm:spPr/>
      <dgm:t>
        <a:bodyPr/>
        <a:lstStyle/>
        <a:p>
          <a:endParaRPr lang="en-AU"/>
        </a:p>
      </dgm:t>
    </dgm:pt>
    <dgm:pt modelId="{15102895-EAE1-4AF1-AA07-6E3E2CD87C82}">
      <dgm:prSet phldrT="[Text]"/>
      <dgm:spPr/>
      <dgm:t>
        <a:bodyPr/>
        <a:lstStyle/>
        <a:p>
          <a:r>
            <a:rPr lang="en-AU"/>
            <a:t>Sensitvity</a:t>
          </a:r>
        </a:p>
      </dgm:t>
    </dgm:pt>
    <dgm:pt modelId="{10FBD587-DC8F-4FEE-8618-1339E6DB2E2E}" type="parTrans" cxnId="{1470450C-7091-43EA-832C-BFEC18AA60F6}">
      <dgm:prSet/>
      <dgm:spPr/>
      <dgm:t>
        <a:bodyPr/>
        <a:lstStyle/>
        <a:p>
          <a:endParaRPr lang="en-AU"/>
        </a:p>
      </dgm:t>
    </dgm:pt>
    <dgm:pt modelId="{127B05EE-8560-4179-9293-916C5699EB82}" type="sibTrans" cxnId="{1470450C-7091-43EA-832C-BFEC18AA60F6}">
      <dgm:prSet/>
      <dgm:spPr/>
      <dgm:t>
        <a:bodyPr/>
        <a:lstStyle/>
        <a:p>
          <a:endParaRPr lang="en-AU"/>
        </a:p>
      </dgm:t>
    </dgm:pt>
    <dgm:pt modelId="{57DBD662-F019-445C-A392-DDC84BBF8F47}">
      <dgm:prSet phldrT="[Text]"/>
      <dgm:spPr>
        <a:solidFill>
          <a:srgbClr val="6DB33F"/>
        </a:solidFill>
      </dgm:spPr>
      <dgm:t>
        <a:bodyPr/>
        <a:lstStyle/>
        <a:p>
          <a:r>
            <a:rPr lang="en-AU"/>
            <a:t>Potential Impact</a:t>
          </a:r>
        </a:p>
      </dgm:t>
    </dgm:pt>
    <dgm:pt modelId="{E5C20D97-75FD-4BC4-BE3D-7326B683E6E0}" type="parTrans" cxnId="{2BD48772-4B25-44DB-941E-99B2EE082A6A}">
      <dgm:prSet/>
      <dgm:spPr/>
      <dgm:t>
        <a:bodyPr/>
        <a:lstStyle/>
        <a:p>
          <a:endParaRPr lang="en-AU"/>
        </a:p>
      </dgm:t>
    </dgm:pt>
    <dgm:pt modelId="{2555529D-3077-4EFB-9881-E3AD7C0E76A2}" type="sibTrans" cxnId="{2BD48772-4B25-44DB-941E-99B2EE082A6A}">
      <dgm:prSet/>
      <dgm:spPr/>
      <dgm:t>
        <a:bodyPr/>
        <a:lstStyle/>
        <a:p>
          <a:endParaRPr lang="en-AU"/>
        </a:p>
      </dgm:t>
    </dgm:pt>
    <dgm:pt modelId="{AB56BD88-BCE5-4E3A-BC55-D3E1815D4BE3}">
      <dgm:prSet phldrT="[Text]" custT="1"/>
      <dgm:spPr>
        <a:solidFill>
          <a:srgbClr val="FDB913"/>
        </a:solidFill>
      </dgm:spPr>
      <dgm:t>
        <a:bodyPr/>
        <a:lstStyle/>
        <a:p>
          <a:r>
            <a:rPr lang="en-AU" sz="1000" b="1"/>
            <a:t>Vulnerability</a:t>
          </a:r>
        </a:p>
      </dgm:t>
    </dgm:pt>
    <dgm:pt modelId="{98F7755C-83B2-4FA4-91A1-6A74E5CFF200}" type="parTrans" cxnId="{B4947CD2-9EEB-45D6-BE48-5A8B8E99EEC6}">
      <dgm:prSet/>
      <dgm:spPr/>
      <dgm:t>
        <a:bodyPr/>
        <a:lstStyle/>
        <a:p>
          <a:endParaRPr lang="en-AU"/>
        </a:p>
      </dgm:t>
    </dgm:pt>
    <dgm:pt modelId="{53E130C3-8021-4E1E-8E0E-6FCFADB36E12}" type="sibTrans" cxnId="{B4947CD2-9EEB-45D6-BE48-5A8B8E99EEC6}">
      <dgm:prSet/>
      <dgm:spPr/>
      <dgm:t>
        <a:bodyPr/>
        <a:lstStyle/>
        <a:p>
          <a:endParaRPr lang="en-AU"/>
        </a:p>
      </dgm:t>
    </dgm:pt>
    <dgm:pt modelId="{868AAFD6-7DB1-42ED-90E1-52B8F6B0BCC7}" type="pres">
      <dgm:prSet presAssocID="{4F07BA18-CD9A-4E76-B101-CCFBCB9C1C88}" presName="linearFlow" presStyleCnt="0">
        <dgm:presLayoutVars>
          <dgm:dir/>
          <dgm:resizeHandles val="exact"/>
        </dgm:presLayoutVars>
      </dgm:prSet>
      <dgm:spPr/>
    </dgm:pt>
    <dgm:pt modelId="{3FFF4E83-B1FF-48AA-B884-3720E0A939F4}" type="pres">
      <dgm:prSet presAssocID="{9CDFA8BD-438C-4F10-8389-7AA556D34102}" presName="node" presStyleLbl="node1" presStyleIdx="0" presStyleCnt="5" custScaleX="73794" custScaleY="73794">
        <dgm:presLayoutVars>
          <dgm:bulletEnabled val="1"/>
        </dgm:presLayoutVars>
      </dgm:prSet>
      <dgm:spPr/>
    </dgm:pt>
    <dgm:pt modelId="{41C6085A-F6CA-4A6F-950A-9B3B803862A4}" type="pres">
      <dgm:prSet presAssocID="{3851C412-12D6-498E-865B-FEAF00660EF6}" presName="spacerL" presStyleCnt="0"/>
      <dgm:spPr/>
    </dgm:pt>
    <dgm:pt modelId="{45CA66B4-385E-43E8-8A4B-86BAAD5EEE05}" type="pres">
      <dgm:prSet presAssocID="{3851C412-12D6-498E-865B-FEAF00660EF6}" presName="sibTrans" presStyleLbl="sibTrans2D1" presStyleIdx="0" presStyleCnt="4" custScaleX="52112" custScaleY="52112"/>
      <dgm:spPr>
        <a:prstGeom prst="mathMultiply">
          <a:avLst/>
        </a:prstGeom>
      </dgm:spPr>
    </dgm:pt>
    <dgm:pt modelId="{8B30859C-2F05-47CA-A34E-B65D9884A7D4}" type="pres">
      <dgm:prSet presAssocID="{3851C412-12D6-498E-865B-FEAF00660EF6}" presName="spacerR" presStyleCnt="0"/>
      <dgm:spPr/>
    </dgm:pt>
    <dgm:pt modelId="{0580F5AD-0A5B-47C3-A72A-5B9D0002342C}" type="pres">
      <dgm:prSet presAssocID="{15102895-EAE1-4AF1-AA07-6E3E2CD87C82}" presName="node" presStyleLbl="node1" presStyleIdx="1" presStyleCnt="5" custScaleX="73794" custScaleY="73794">
        <dgm:presLayoutVars>
          <dgm:bulletEnabled val="1"/>
        </dgm:presLayoutVars>
      </dgm:prSet>
      <dgm:spPr/>
    </dgm:pt>
    <dgm:pt modelId="{13F52105-9539-49DD-87A4-313145E5D263}" type="pres">
      <dgm:prSet presAssocID="{127B05EE-8560-4179-9293-916C5699EB82}" presName="spacerL" presStyleCnt="0"/>
      <dgm:spPr/>
    </dgm:pt>
    <dgm:pt modelId="{11F2590B-0547-43B9-8994-48F7FDE8E3A1}" type="pres">
      <dgm:prSet presAssocID="{127B05EE-8560-4179-9293-916C5699EB82}" presName="sibTrans" presStyleLbl="sibTrans2D1" presStyleIdx="1" presStyleCnt="4" custScaleX="52112" custScaleY="52112"/>
      <dgm:spPr>
        <a:prstGeom prst="mathEqual">
          <a:avLst/>
        </a:prstGeom>
      </dgm:spPr>
    </dgm:pt>
    <dgm:pt modelId="{2F7B5F7D-FD50-45CC-87BA-B31C44A1B4C5}" type="pres">
      <dgm:prSet presAssocID="{127B05EE-8560-4179-9293-916C5699EB82}" presName="spacerR" presStyleCnt="0"/>
      <dgm:spPr/>
    </dgm:pt>
    <dgm:pt modelId="{CD767129-F72A-4B4A-ACFC-3A78BED95736}" type="pres">
      <dgm:prSet presAssocID="{57DBD662-F019-445C-A392-DDC84BBF8F47}" presName="node" presStyleLbl="node1" presStyleIdx="2" presStyleCnt="5" custScaleX="94342" custScaleY="94342">
        <dgm:presLayoutVars>
          <dgm:bulletEnabled val="1"/>
        </dgm:presLayoutVars>
      </dgm:prSet>
      <dgm:spPr/>
    </dgm:pt>
    <dgm:pt modelId="{8BFFFAF7-8A76-455D-B409-78CD0D775E97}" type="pres">
      <dgm:prSet presAssocID="{2555529D-3077-4EFB-9881-E3AD7C0E76A2}" presName="spacerL" presStyleCnt="0"/>
      <dgm:spPr/>
    </dgm:pt>
    <dgm:pt modelId="{DCFFC843-97AD-4D75-A406-91AC9A70BC73}" type="pres">
      <dgm:prSet presAssocID="{2555529D-3077-4EFB-9881-E3AD7C0E76A2}" presName="sibTrans" presStyleLbl="sibTrans2D1" presStyleIdx="2" presStyleCnt="4" custScaleX="52112" custScaleY="52112"/>
      <dgm:spPr>
        <a:prstGeom prst="mathMultiply">
          <a:avLst/>
        </a:prstGeom>
      </dgm:spPr>
    </dgm:pt>
    <dgm:pt modelId="{AF49B20B-6B77-472D-ACF1-496DFA519C8D}" type="pres">
      <dgm:prSet presAssocID="{2555529D-3077-4EFB-9881-E3AD7C0E76A2}" presName="spacerR" presStyleCnt="0"/>
      <dgm:spPr/>
    </dgm:pt>
    <dgm:pt modelId="{9B1F4587-F2F1-426F-A15C-CC186DFBD48D}" type="pres">
      <dgm:prSet presAssocID="{4B88702B-370C-4E2B-AB6C-583439CAD12B}" presName="node" presStyleLbl="node1" presStyleIdx="3" presStyleCnt="5" custScaleX="73794" custScaleY="73794">
        <dgm:presLayoutVars>
          <dgm:bulletEnabled val="1"/>
        </dgm:presLayoutVars>
      </dgm:prSet>
      <dgm:spPr/>
    </dgm:pt>
    <dgm:pt modelId="{DD7B8E3E-F9E1-4D28-9DA0-447064B8DCB8}" type="pres">
      <dgm:prSet presAssocID="{130DA540-9624-4C0B-A29F-FE139DB642D9}" presName="spacerL" presStyleCnt="0"/>
      <dgm:spPr/>
    </dgm:pt>
    <dgm:pt modelId="{B15E8392-B388-4BF6-A989-B7FCF5FFB7D0}" type="pres">
      <dgm:prSet presAssocID="{130DA540-9624-4C0B-A29F-FE139DB642D9}" presName="sibTrans" presStyleLbl="sibTrans2D1" presStyleIdx="3" presStyleCnt="4" custScaleX="52112" custScaleY="52112"/>
      <dgm:spPr/>
    </dgm:pt>
    <dgm:pt modelId="{54E0E196-DCF3-4166-9453-C1FFD9D059B1}" type="pres">
      <dgm:prSet presAssocID="{130DA540-9624-4C0B-A29F-FE139DB642D9}" presName="spacerR" presStyleCnt="0"/>
      <dgm:spPr/>
    </dgm:pt>
    <dgm:pt modelId="{27090967-083C-4BE1-BAC5-827AA20B3489}" type="pres">
      <dgm:prSet presAssocID="{AB56BD88-BCE5-4E3A-BC55-D3E1815D4BE3}" presName="node" presStyleLbl="node1" presStyleIdx="4" presStyleCnt="5" custScaleX="114543" custScaleY="114543">
        <dgm:presLayoutVars>
          <dgm:bulletEnabled val="1"/>
        </dgm:presLayoutVars>
      </dgm:prSet>
      <dgm:spPr/>
    </dgm:pt>
  </dgm:ptLst>
  <dgm:cxnLst>
    <dgm:cxn modelId="{08A89F04-A35C-433E-9FEF-6F57985B7415}" type="presOf" srcId="{3851C412-12D6-498E-865B-FEAF00660EF6}" destId="{45CA66B4-385E-43E8-8A4B-86BAAD5EEE05}" srcOrd="0" destOrd="0" presId="urn:microsoft.com/office/officeart/2005/8/layout/equation1"/>
    <dgm:cxn modelId="{7A89A407-39E9-46D2-8310-B9B096D339F9}" srcId="{4F07BA18-CD9A-4E76-B101-CCFBCB9C1C88}" destId="{9CDFA8BD-438C-4F10-8389-7AA556D34102}" srcOrd="0" destOrd="0" parTransId="{2A3BDF4C-B628-4205-A455-BEB350B410F5}" sibTransId="{3851C412-12D6-498E-865B-FEAF00660EF6}"/>
    <dgm:cxn modelId="{1470450C-7091-43EA-832C-BFEC18AA60F6}" srcId="{4F07BA18-CD9A-4E76-B101-CCFBCB9C1C88}" destId="{15102895-EAE1-4AF1-AA07-6E3E2CD87C82}" srcOrd="1" destOrd="0" parTransId="{10FBD587-DC8F-4FEE-8618-1339E6DB2E2E}" sibTransId="{127B05EE-8560-4179-9293-916C5699EB82}"/>
    <dgm:cxn modelId="{111F9632-34F9-49F5-8432-68F878B89D19}" type="presOf" srcId="{9CDFA8BD-438C-4F10-8389-7AA556D34102}" destId="{3FFF4E83-B1FF-48AA-B884-3720E0A939F4}" srcOrd="0" destOrd="0" presId="urn:microsoft.com/office/officeart/2005/8/layout/equation1"/>
    <dgm:cxn modelId="{F916B533-E16F-40C0-8626-4DEC3C5D4132}" type="presOf" srcId="{127B05EE-8560-4179-9293-916C5699EB82}" destId="{11F2590B-0547-43B9-8994-48F7FDE8E3A1}" srcOrd="0" destOrd="0" presId="urn:microsoft.com/office/officeart/2005/8/layout/equation1"/>
    <dgm:cxn modelId="{3848BF35-6F5A-4500-8F52-97B2AF569CBD}" srcId="{4F07BA18-CD9A-4E76-B101-CCFBCB9C1C88}" destId="{4B88702B-370C-4E2B-AB6C-583439CAD12B}" srcOrd="3" destOrd="0" parTransId="{6092C08D-83E5-46E3-A9C8-FE90A86A17B1}" sibTransId="{130DA540-9624-4C0B-A29F-FE139DB642D9}"/>
    <dgm:cxn modelId="{0ABD7560-0A15-48D6-AFA7-6C73536FCA93}" type="presOf" srcId="{57DBD662-F019-445C-A392-DDC84BBF8F47}" destId="{CD767129-F72A-4B4A-ACFC-3A78BED95736}" srcOrd="0" destOrd="0" presId="urn:microsoft.com/office/officeart/2005/8/layout/equation1"/>
    <dgm:cxn modelId="{AB6D7042-E02F-401F-A376-01697A24625C}" type="presOf" srcId="{130DA540-9624-4C0B-A29F-FE139DB642D9}" destId="{B15E8392-B388-4BF6-A989-B7FCF5FFB7D0}" srcOrd="0" destOrd="0" presId="urn:microsoft.com/office/officeart/2005/8/layout/equation1"/>
    <dgm:cxn modelId="{42AE7346-FD3D-4D0E-B8D0-89674500A966}" type="presOf" srcId="{AB56BD88-BCE5-4E3A-BC55-D3E1815D4BE3}" destId="{27090967-083C-4BE1-BAC5-827AA20B3489}" srcOrd="0" destOrd="0" presId="urn:microsoft.com/office/officeart/2005/8/layout/equation1"/>
    <dgm:cxn modelId="{2BD48772-4B25-44DB-941E-99B2EE082A6A}" srcId="{4F07BA18-CD9A-4E76-B101-CCFBCB9C1C88}" destId="{57DBD662-F019-445C-A392-DDC84BBF8F47}" srcOrd="2" destOrd="0" parTransId="{E5C20D97-75FD-4BC4-BE3D-7326B683E6E0}" sibTransId="{2555529D-3077-4EFB-9881-E3AD7C0E76A2}"/>
    <dgm:cxn modelId="{64A93174-6437-429D-AD9E-5A24126FF211}" type="presOf" srcId="{15102895-EAE1-4AF1-AA07-6E3E2CD87C82}" destId="{0580F5AD-0A5B-47C3-A72A-5B9D0002342C}" srcOrd="0" destOrd="0" presId="urn:microsoft.com/office/officeart/2005/8/layout/equation1"/>
    <dgm:cxn modelId="{B4947CD2-9EEB-45D6-BE48-5A8B8E99EEC6}" srcId="{4F07BA18-CD9A-4E76-B101-CCFBCB9C1C88}" destId="{AB56BD88-BCE5-4E3A-BC55-D3E1815D4BE3}" srcOrd="4" destOrd="0" parTransId="{98F7755C-83B2-4FA4-91A1-6A74E5CFF200}" sibTransId="{53E130C3-8021-4E1E-8E0E-6FCFADB36E12}"/>
    <dgm:cxn modelId="{9725F3D6-FB60-4DEA-804B-5FFD0B7BA143}" type="presOf" srcId="{2555529D-3077-4EFB-9881-E3AD7C0E76A2}" destId="{DCFFC843-97AD-4D75-A406-91AC9A70BC73}" srcOrd="0" destOrd="0" presId="urn:microsoft.com/office/officeart/2005/8/layout/equation1"/>
    <dgm:cxn modelId="{F60D20D7-B31E-4A79-9ACC-8389AD99A1C3}" type="presOf" srcId="{4F07BA18-CD9A-4E76-B101-CCFBCB9C1C88}" destId="{868AAFD6-7DB1-42ED-90E1-52B8F6B0BCC7}" srcOrd="0" destOrd="0" presId="urn:microsoft.com/office/officeart/2005/8/layout/equation1"/>
    <dgm:cxn modelId="{4E7EE6E4-1D18-4B23-AE8E-D52F3BD141C4}" type="presOf" srcId="{4B88702B-370C-4E2B-AB6C-583439CAD12B}" destId="{9B1F4587-F2F1-426F-A15C-CC186DFBD48D}" srcOrd="0" destOrd="0" presId="urn:microsoft.com/office/officeart/2005/8/layout/equation1"/>
    <dgm:cxn modelId="{77CDF597-ACFA-49CC-B0B3-5ED98E78FB51}" type="presParOf" srcId="{868AAFD6-7DB1-42ED-90E1-52B8F6B0BCC7}" destId="{3FFF4E83-B1FF-48AA-B884-3720E0A939F4}" srcOrd="0" destOrd="0" presId="urn:microsoft.com/office/officeart/2005/8/layout/equation1"/>
    <dgm:cxn modelId="{3D982C31-DB1D-49C9-8371-6993A1FCAB4A}" type="presParOf" srcId="{868AAFD6-7DB1-42ED-90E1-52B8F6B0BCC7}" destId="{41C6085A-F6CA-4A6F-950A-9B3B803862A4}" srcOrd="1" destOrd="0" presId="urn:microsoft.com/office/officeart/2005/8/layout/equation1"/>
    <dgm:cxn modelId="{847A7160-F59F-48D9-91EE-E30513B880E9}" type="presParOf" srcId="{868AAFD6-7DB1-42ED-90E1-52B8F6B0BCC7}" destId="{45CA66B4-385E-43E8-8A4B-86BAAD5EEE05}" srcOrd="2" destOrd="0" presId="urn:microsoft.com/office/officeart/2005/8/layout/equation1"/>
    <dgm:cxn modelId="{4FA0AE59-21CB-42F6-8CAA-BB74790CBAD2}" type="presParOf" srcId="{868AAFD6-7DB1-42ED-90E1-52B8F6B0BCC7}" destId="{8B30859C-2F05-47CA-A34E-B65D9884A7D4}" srcOrd="3" destOrd="0" presId="urn:microsoft.com/office/officeart/2005/8/layout/equation1"/>
    <dgm:cxn modelId="{8D17DD85-BDC0-4FA9-B85B-A430F14D750D}" type="presParOf" srcId="{868AAFD6-7DB1-42ED-90E1-52B8F6B0BCC7}" destId="{0580F5AD-0A5B-47C3-A72A-5B9D0002342C}" srcOrd="4" destOrd="0" presId="urn:microsoft.com/office/officeart/2005/8/layout/equation1"/>
    <dgm:cxn modelId="{F6F05054-ED75-407D-B408-353B618554B4}" type="presParOf" srcId="{868AAFD6-7DB1-42ED-90E1-52B8F6B0BCC7}" destId="{13F52105-9539-49DD-87A4-313145E5D263}" srcOrd="5" destOrd="0" presId="urn:microsoft.com/office/officeart/2005/8/layout/equation1"/>
    <dgm:cxn modelId="{2AB79472-121C-4267-A50A-06705EE35215}" type="presParOf" srcId="{868AAFD6-7DB1-42ED-90E1-52B8F6B0BCC7}" destId="{11F2590B-0547-43B9-8994-48F7FDE8E3A1}" srcOrd="6" destOrd="0" presId="urn:microsoft.com/office/officeart/2005/8/layout/equation1"/>
    <dgm:cxn modelId="{6131BEE7-66F9-4359-9735-F980CEE89562}" type="presParOf" srcId="{868AAFD6-7DB1-42ED-90E1-52B8F6B0BCC7}" destId="{2F7B5F7D-FD50-45CC-87BA-B31C44A1B4C5}" srcOrd="7" destOrd="0" presId="urn:microsoft.com/office/officeart/2005/8/layout/equation1"/>
    <dgm:cxn modelId="{8882F426-37EF-4980-A181-3EAE73BFC583}" type="presParOf" srcId="{868AAFD6-7DB1-42ED-90E1-52B8F6B0BCC7}" destId="{CD767129-F72A-4B4A-ACFC-3A78BED95736}" srcOrd="8" destOrd="0" presId="urn:microsoft.com/office/officeart/2005/8/layout/equation1"/>
    <dgm:cxn modelId="{C7B6FDA6-4B13-42FF-AD7E-2A4CBCD02652}" type="presParOf" srcId="{868AAFD6-7DB1-42ED-90E1-52B8F6B0BCC7}" destId="{8BFFFAF7-8A76-455D-B409-78CD0D775E97}" srcOrd="9" destOrd="0" presId="urn:microsoft.com/office/officeart/2005/8/layout/equation1"/>
    <dgm:cxn modelId="{2F3C2513-ECD4-4BF9-A2ED-0B9E78117FD2}" type="presParOf" srcId="{868AAFD6-7DB1-42ED-90E1-52B8F6B0BCC7}" destId="{DCFFC843-97AD-4D75-A406-91AC9A70BC73}" srcOrd="10" destOrd="0" presId="urn:microsoft.com/office/officeart/2005/8/layout/equation1"/>
    <dgm:cxn modelId="{94565430-DA67-43BF-BDD1-F33EE0387748}" type="presParOf" srcId="{868AAFD6-7DB1-42ED-90E1-52B8F6B0BCC7}" destId="{AF49B20B-6B77-472D-ACF1-496DFA519C8D}" srcOrd="11" destOrd="0" presId="urn:microsoft.com/office/officeart/2005/8/layout/equation1"/>
    <dgm:cxn modelId="{F7B661C3-E5E4-4D6B-A133-A38E683012EC}" type="presParOf" srcId="{868AAFD6-7DB1-42ED-90E1-52B8F6B0BCC7}" destId="{9B1F4587-F2F1-426F-A15C-CC186DFBD48D}" srcOrd="12" destOrd="0" presId="urn:microsoft.com/office/officeart/2005/8/layout/equation1"/>
    <dgm:cxn modelId="{82B027F0-FB44-4E88-82BF-CFAA23EF1158}" type="presParOf" srcId="{868AAFD6-7DB1-42ED-90E1-52B8F6B0BCC7}" destId="{DD7B8E3E-F9E1-4D28-9DA0-447064B8DCB8}" srcOrd="13" destOrd="0" presId="urn:microsoft.com/office/officeart/2005/8/layout/equation1"/>
    <dgm:cxn modelId="{CF212661-8DD9-4AAC-9AF9-BCC4103B568C}" type="presParOf" srcId="{868AAFD6-7DB1-42ED-90E1-52B8F6B0BCC7}" destId="{B15E8392-B388-4BF6-A989-B7FCF5FFB7D0}" srcOrd="14" destOrd="0" presId="urn:microsoft.com/office/officeart/2005/8/layout/equation1"/>
    <dgm:cxn modelId="{634909C6-4459-4915-B965-0EBA0BC6719E}" type="presParOf" srcId="{868AAFD6-7DB1-42ED-90E1-52B8F6B0BCC7}" destId="{54E0E196-DCF3-4166-9453-C1FFD9D059B1}" srcOrd="15" destOrd="0" presId="urn:microsoft.com/office/officeart/2005/8/layout/equation1"/>
    <dgm:cxn modelId="{19E0B469-EFE8-4506-AA88-F660E24B6694}" type="presParOf" srcId="{868AAFD6-7DB1-42ED-90E1-52B8F6B0BCC7}" destId="{27090967-083C-4BE1-BAC5-827AA20B3489}" srcOrd="16" destOrd="0" presId="urn:microsoft.com/office/officeart/2005/8/layout/equation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FF4E83-B1FF-48AA-B884-3720E0A939F4}">
      <dsp:nvSpPr>
        <dsp:cNvPr id="0" name=""/>
        <dsp:cNvSpPr/>
      </dsp:nvSpPr>
      <dsp:spPr>
        <a:xfrm>
          <a:off x="3674" y="248296"/>
          <a:ext cx="732132" cy="73213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AU" sz="900" kern="1200"/>
            <a:t>Exposure</a:t>
          </a:r>
        </a:p>
      </dsp:txBody>
      <dsp:txXfrm>
        <a:off x="110892" y="355514"/>
        <a:ext cx="517696" cy="517696"/>
      </dsp:txXfrm>
    </dsp:sp>
    <dsp:sp modelId="{45CA66B4-385E-43E8-8A4B-86BAAD5EEE05}">
      <dsp:nvSpPr>
        <dsp:cNvPr id="0" name=""/>
        <dsp:cNvSpPr/>
      </dsp:nvSpPr>
      <dsp:spPr>
        <a:xfrm>
          <a:off x="816367" y="464426"/>
          <a:ext cx="299871" cy="299871"/>
        </a:xfrm>
        <a:prstGeom prst="mathMultiply">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a:off x="863453" y="511512"/>
        <a:ext cx="205699" cy="205699"/>
      </dsp:txXfrm>
    </dsp:sp>
    <dsp:sp modelId="{0580F5AD-0A5B-47C3-A72A-5B9D0002342C}">
      <dsp:nvSpPr>
        <dsp:cNvPr id="0" name=""/>
        <dsp:cNvSpPr/>
      </dsp:nvSpPr>
      <dsp:spPr>
        <a:xfrm>
          <a:off x="1196799" y="248296"/>
          <a:ext cx="732132" cy="73213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AU" sz="900" kern="1200"/>
            <a:t>Sensitvity</a:t>
          </a:r>
        </a:p>
      </dsp:txBody>
      <dsp:txXfrm>
        <a:off x="1304017" y="355514"/>
        <a:ext cx="517696" cy="517696"/>
      </dsp:txXfrm>
    </dsp:sp>
    <dsp:sp modelId="{11F2590B-0547-43B9-8994-48F7FDE8E3A1}">
      <dsp:nvSpPr>
        <dsp:cNvPr id="0" name=""/>
        <dsp:cNvSpPr/>
      </dsp:nvSpPr>
      <dsp:spPr>
        <a:xfrm>
          <a:off x="2009493" y="464426"/>
          <a:ext cx="299871" cy="299871"/>
        </a:xfrm>
        <a:prstGeom prst="mathEqual">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a:off x="2049241" y="526199"/>
        <a:ext cx="220375" cy="176325"/>
      </dsp:txXfrm>
    </dsp:sp>
    <dsp:sp modelId="{CD767129-F72A-4B4A-ACFC-3A78BED95736}">
      <dsp:nvSpPr>
        <dsp:cNvPr id="0" name=""/>
        <dsp:cNvSpPr/>
      </dsp:nvSpPr>
      <dsp:spPr>
        <a:xfrm>
          <a:off x="2389925" y="146364"/>
          <a:ext cx="935995" cy="935995"/>
        </a:xfrm>
        <a:prstGeom prst="ellipse">
          <a:avLst/>
        </a:prstGeom>
        <a:solidFill>
          <a:srgbClr val="6DB33F"/>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AU" sz="900" kern="1200"/>
            <a:t>Potential Impact</a:t>
          </a:r>
        </a:p>
      </dsp:txBody>
      <dsp:txXfrm>
        <a:off x="2526998" y="283437"/>
        <a:ext cx="661849" cy="661849"/>
      </dsp:txXfrm>
    </dsp:sp>
    <dsp:sp modelId="{DCFFC843-97AD-4D75-A406-91AC9A70BC73}">
      <dsp:nvSpPr>
        <dsp:cNvPr id="0" name=""/>
        <dsp:cNvSpPr/>
      </dsp:nvSpPr>
      <dsp:spPr>
        <a:xfrm>
          <a:off x="3406482" y="464426"/>
          <a:ext cx="299871" cy="299871"/>
        </a:xfrm>
        <a:prstGeom prst="mathMultiply">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a:off x="3453568" y="511512"/>
        <a:ext cx="205699" cy="205699"/>
      </dsp:txXfrm>
    </dsp:sp>
    <dsp:sp modelId="{9B1F4587-F2F1-426F-A15C-CC186DFBD48D}">
      <dsp:nvSpPr>
        <dsp:cNvPr id="0" name=""/>
        <dsp:cNvSpPr/>
      </dsp:nvSpPr>
      <dsp:spPr>
        <a:xfrm>
          <a:off x="3786914" y="248296"/>
          <a:ext cx="732132" cy="73213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en-AU" sz="900" kern="1200"/>
            <a:t>Adaptive Capacity</a:t>
          </a:r>
        </a:p>
      </dsp:txBody>
      <dsp:txXfrm>
        <a:off x="3894132" y="355514"/>
        <a:ext cx="517696" cy="517696"/>
      </dsp:txXfrm>
    </dsp:sp>
    <dsp:sp modelId="{B15E8392-B388-4BF6-A989-B7FCF5FFB7D0}">
      <dsp:nvSpPr>
        <dsp:cNvPr id="0" name=""/>
        <dsp:cNvSpPr/>
      </dsp:nvSpPr>
      <dsp:spPr>
        <a:xfrm>
          <a:off x="4599607" y="464426"/>
          <a:ext cx="299871" cy="299871"/>
        </a:xfrm>
        <a:prstGeom prst="mathEqual">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AU" sz="700" kern="1200"/>
        </a:p>
      </dsp:txBody>
      <dsp:txXfrm>
        <a:off x="4639355" y="526199"/>
        <a:ext cx="220375" cy="176325"/>
      </dsp:txXfrm>
    </dsp:sp>
    <dsp:sp modelId="{27090967-083C-4BE1-BAC5-827AA20B3489}">
      <dsp:nvSpPr>
        <dsp:cNvPr id="0" name=""/>
        <dsp:cNvSpPr/>
      </dsp:nvSpPr>
      <dsp:spPr>
        <a:xfrm>
          <a:off x="4980040" y="46154"/>
          <a:ext cx="1136415" cy="1136415"/>
        </a:xfrm>
        <a:prstGeom prst="ellipse">
          <a:avLst/>
        </a:prstGeom>
        <a:solidFill>
          <a:srgbClr val="FDB91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AU" sz="1000" b="1" kern="1200"/>
            <a:t>Vulnerability</a:t>
          </a:r>
        </a:p>
      </dsp:txBody>
      <dsp:txXfrm>
        <a:off x="5146464" y="212578"/>
        <a:ext cx="803567" cy="803567"/>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D5A149BFD894CDAB34A7BA12BD1CED1"/>
        <w:category>
          <w:name w:val="General"/>
          <w:gallery w:val="placeholder"/>
        </w:category>
        <w:types>
          <w:type w:val="bbPlcHdr"/>
        </w:types>
        <w:behaviors>
          <w:behavior w:val="content"/>
        </w:behaviors>
        <w:guid w:val="{A46A3C71-1F91-4AFB-9105-5115118754A1}"/>
      </w:docPartPr>
      <w:docPartBody>
        <w:p w:rsidR="009809C5" w:rsidRDefault="009809C5">
          <w:pPr>
            <w:pStyle w:val="AD5A149BFD894CDAB34A7BA12BD1CED1"/>
          </w:pPr>
          <w:r w:rsidRPr="00792B38">
            <w:rPr>
              <w:highlight w:val="yellow"/>
            </w:rPr>
            <w:t>[Client Name]</w:t>
          </w:r>
        </w:p>
      </w:docPartBody>
    </w:docPart>
    <w:docPart>
      <w:docPartPr>
        <w:name w:val="293FE20839CF457181870D337ABB2A4D"/>
        <w:category>
          <w:name w:val="General"/>
          <w:gallery w:val="placeholder"/>
        </w:category>
        <w:types>
          <w:type w:val="bbPlcHdr"/>
        </w:types>
        <w:behaviors>
          <w:behavior w:val="content"/>
        </w:behaviors>
        <w:guid w:val="{AD734BA8-4E56-420C-85E6-C937916FB235}"/>
      </w:docPartPr>
      <w:docPartBody>
        <w:p w:rsidR="009809C5" w:rsidRDefault="009809C5">
          <w:pPr>
            <w:pStyle w:val="293FE20839CF457181870D337ABB2A4D"/>
          </w:pPr>
          <w:r w:rsidRPr="00792B38">
            <w:rPr>
              <w:highlight w:val="yellow"/>
            </w:rPr>
            <w:t>[Client Project Manager]</w:t>
          </w:r>
        </w:p>
      </w:docPartBody>
    </w:docPart>
    <w:docPart>
      <w:docPartPr>
        <w:name w:val="4979B54BE6234BF3A324E14E69FC8719"/>
        <w:category>
          <w:name w:val="General"/>
          <w:gallery w:val="placeholder"/>
        </w:category>
        <w:types>
          <w:type w:val="bbPlcHdr"/>
        </w:types>
        <w:behaviors>
          <w:behavior w:val="content"/>
        </w:behaviors>
        <w:guid w:val="{D42C9578-2320-49C2-AF71-948C65320556}"/>
      </w:docPartPr>
      <w:docPartBody>
        <w:p w:rsidR="009809C5" w:rsidRDefault="009809C5">
          <w:pPr>
            <w:pStyle w:val="4979B54BE6234BF3A324E14E69FC8719"/>
          </w:pPr>
          <w:r w:rsidRPr="00792B38">
            <w:rPr>
              <w:highlight w:val="yellow"/>
            </w:rPr>
            <w:t>[Water Tech Project Manager]</w:t>
          </w:r>
        </w:p>
      </w:docPartBody>
    </w:docPart>
    <w:docPart>
      <w:docPartPr>
        <w:name w:val="7F652BC043AE4E08A096D4663311250D"/>
        <w:category>
          <w:name w:val="General"/>
          <w:gallery w:val="placeholder"/>
        </w:category>
        <w:types>
          <w:type w:val="bbPlcHdr"/>
        </w:types>
        <w:behaviors>
          <w:behavior w:val="content"/>
        </w:behaviors>
        <w:guid w:val="{BA11DE11-E9F0-42B9-9811-A480F980F70E}"/>
      </w:docPartPr>
      <w:docPartBody>
        <w:p w:rsidR="009809C5" w:rsidRDefault="009809C5">
          <w:pPr>
            <w:pStyle w:val="7F652BC043AE4E08A096D4663311250D"/>
          </w:pPr>
          <w:r w:rsidRPr="00792B38">
            <w:rPr>
              <w:highlight w:val="yellow"/>
            </w:rPr>
            <w:t>[Water Tech Project Director]</w:t>
          </w:r>
        </w:p>
      </w:docPartBody>
    </w:docPart>
    <w:docPart>
      <w:docPartPr>
        <w:name w:val="CB396F33A1A849C7A6C407AE71F72CC1"/>
        <w:category>
          <w:name w:val="General"/>
          <w:gallery w:val="placeholder"/>
        </w:category>
        <w:types>
          <w:type w:val="bbPlcHdr"/>
        </w:types>
        <w:behaviors>
          <w:behavior w:val="content"/>
        </w:behaviors>
        <w:guid w:val="{5C62CED2-10CA-4778-B963-64096D3D3468}"/>
      </w:docPartPr>
      <w:docPartBody>
        <w:p w:rsidR="009809C5" w:rsidRDefault="009809C5">
          <w:pPr>
            <w:pStyle w:val="CB396F33A1A849C7A6C407AE71F72CC1"/>
          </w:pPr>
          <w:r w:rsidRPr="0021402B">
            <w:rPr>
              <w:rStyle w:val="PlaceholderText"/>
            </w:rPr>
            <w:t>[Author]</w:t>
          </w:r>
        </w:p>
      </w:docPartBody>
    </w:docPart>
    <w:docPart>
      <w:docPartPr>
        <w:name w:val="ACB7E8B1CAF6450D92F52D5A172D38E2"/>
        <w:category>
          <w:name w:val="General"/>
          <w:gallery w:val="placeholder"/>
        </w:category>
        <w:types>
          <w:type w:val="bbPlcHdr"/>
        </w:types>
        <w:behaviors>
          <w:behavior w:val="content"/>
        </w:behaviors>
        <w:guid w:val="{C26ADA3F-B3D0-4E4E-9079-107EEA2E04D7}"/>
      </w:docPartPr>
      <w:docPartBody>
        <w:p w:rsidR="009809C5" w:rsidRDefault="009809C5">
          <w:pPr>
            <w:pStyle w:val="ACB7E8B1CAF6450D92F52D5A172D38E2"/>
          </w:pPr>
          <w:r w:rsidRPr="00792B38">
            <w:rPr>
              <w:highlight w:val="yellow"/>
            </w:rPr>
            <w:t>[Client Name]</w:t>
          </w:r>
        </w:p>
      </w:docPartBody>
    </w:docPart>
    <w:docPart>
      <w:docPartPr>
        <w:name w:val="A57E9B842CCA498481FA51DE8EA000D1"/>
        <w:category>
          <w:name w:val="General"/>
          <w:gallery w:val="placeholder"/>
        </w:category>
        <w:types>
          <w:type w:val="bbPlcHdr"/>
        </w:types>
        <w:behaviors>
          <w:behavior w:val="content"/>
        </w:behaviors>
        <w:guid w:val="{AC4195BC-B451-420C-B9A8-48115CAD602C}"/>
      </w:docPartPr>
      <w:docPartBody>
        <w:p w:rsidR="009809C5" w:rsidRDefault="009809C5">
          <w:pPr>
            <w:pStyle w:val="A57E9B842CCA498481FA51DE8EA000D1"/>
          </w:pPr>
          <w:r w:rsidRPr="00877900">
            <w:rPr>
              <w:sz w:val="18"/>
              <w:szCs w:val="18"/>
              <w:highlight w:val="yellow"/>
            </w:rPr>
            <w:t>[Choose address from the ribbon]</w:t>
          </w:r>
        </w:p>
      </w:docPartBody>
    </w:docPart>
    <w:docPart>
      <w:docPartPr>
        <w:name w:val="9838E467757E4A79BED44E552BB7B853"/>
        <w:category>
          <w:name w:val="General"/>
          <w:gallery w:val="placeholder"/>
        </w:category>
        <w:types>
          <w:type w:val="bbPlcHdr"/>
        </w:types>
        <w:behaviors>
          <w:behavior w:val="content"/>
        </w:behaviors>
        <w:guid w:val="{B1113E38-5112-46EB-B7DC-38F4D73248C1}"/>
      </w:docPartPr>
      <w:docPartBody>
        <w:p w:rsidR="009809C5" w:rsidRDefault="009809C5" w:rsidP="009809C5">
          <w:pPr>
            <w:pStyle w:val="9838E467757E4A79BED44E552BB7B853"/>
          </w:pPr>
          <w:r w:rsidRPr="0025635E">
            <w:rPr>
              <w:highlight w:val="yellow"/>
            </w:rPr>
            <w:t>[Click to choose date]</w:t>
          </w:r>
        </w:p>
      </w:docPartBody>
    </w:docPart>
    <w:docPart>
      <w:docPartPr>
        <w:name w:val="AA2CA1451AAC4F74999A5051F3A1CBD6"/>
        <w:category>
          <w:name w:val="General"/>
          <w:gallery w:val="placeholder"/>
        </w:category>
        <w:types>
          <w:type w:val="bbPlcHdr"/>
        </w:types>
        <w:behaviors>
          <w:behavior w:val="content"/>
        </w:behaviors>
        <w:guid w:val="{949881F7-5AC1-49EC-83F1-A917DDB6D630}"/>
      </w:docPartPr>
      <w:docPartBody>
        <w:p w:rsidR="009809C5" w:rsidRDefault="009809C5" w:rsidP="009809C5">
          <w:pPr>
            <w:pStyle w:val="AA2CA1451AAC4F74999A5051F3A1CBD6"/>
          </w:pPr>
          <w:r w:rsidRPr="0038247C">
            <w:rPr>
              <w:rFonts w:eastAsia="Times New Roman" w:cs="Times New Roman"/>
              <w:highlight w:val="yellow"/>
            </w:rPr>
            <w:t>[Client Project Manager]</w:t>
          </w:r>
        </w:p>
      </w:docPartBody>
    </w:docPart>
    <w:docPart>
      <w:docPartPr>
        <w:name w:val="7EB09C6EDEBC4E97A3ECC2B520A04CA2"/>
        <w:category>
          <w:name w:val="General"/>
          <w:gallery w:val="placeholder"/>
        </w:category>
        <w:types>
          <w:type w:val="bbPlcHdr"/>
        </w:types>
        <w:behaviors>
          <w:behavior w:val="content"/>
        </w:behaviors>
        <w:guid w:val="{ED7D4932-B259-439B-9A44-9B6595994E05}"/>
      </w:docPartPr>
      <w:docPartBody>
        <w:p w:rsidR="009809C5" w:rsidRDefault="009809C5" w:rsidP="009809C5">
          <w:pPr>
            <w:pStyle w:val="7EB09C6EDEBC4E97A3ECC2B520A04CA2"/>
          </w:pPr>
          <w:r w:rsidRPr="0038247C">
            <w:rPr>
              <w:rFonts w:eastAsia="Times New Roman" w:cs="Times New Roman"/>
              <w:highlight w:val="yellow"/>
            </w:rPr>
            <w:t>[Client Position Title]</w:t>
          </w:r>
        </w:p>
      </w:docPartBody>
    </w:docPart>
    <w:docPart>
      <w:docPartPr>
        <w:name w:val="EFAB473F4417411F903812474B80BEFC"/>
        <w:category>
          <w:name w:val="General"/>
          <w:gallery w:val="placeholder"/>
        </w:category>
        <w:types>
          <w:type w:val="bbPlcHdr"/>
        </w:types>
        <w:behaviors>
          <w:behavior w:val="content"/>
        </w:behaviors>
        <w:guid w:val="{8206B842-5DE6-4C95-937D-61AC05637287}"/>
      </w:docPartPr>
      <w:docPartBody>
        <w:p w:rsidR="00AC48F9" w:rsidRDefault="00AC48F9" w:rsidP="00AC48F9">
          <w:pPr>
            <w:pStyle w:val="EFAB473F4417411F903812474B80BEFC"/>
          </w:pPr>
          <w:r w:rsidRPr="008949F5">
            <w:rPr>
              <w:highlight w:val="yellow"/>
            </w:rPr>
            <w:t>[Client Name]</w:t>
          </w:r>
        </w:p>
      </w:docPartBody>
    </w:docPart>
    <w:docPart>
      <w:docPartPr>
        <w:name w:val="66A2FC8C61A34F2BA53220E4BBDCDB65"/>
        <w:category>
          <w:name w:val="General"/>
          <w:gallery w:val="placeholder"/>
        </w:category>
        <w:types>
          <w:type w:val="bbPlcHdr"/>
        </w:types>
        <w:behaviors>
          <w:behavior w:val="content"/>
        </w:behaviors>
        <w:guid w:val="{BE203FB2-81BB-4249-B3AA-7E222DA17447}"/>
      </w:docPartPr>
      <w:docPartBody>
        <w:p w:rsidR="00AC48F9" w:rsidRDefault="00AC48F9" w:rsidP="00AC48F9">
          <w:pPr>
            <w:pStyle w:val="66A2FC8C61A34F2BA53220E4BBDCDB65"/>
          </w:pPr>
          <w:r w:rsidRPr="00F83B6B">
            <w:rPr>
              <w:highlight w:val="yellow"/>
            </w:rPr>
            <w:t>[Click to choose date]</w:t>
          </w:r>
        </w:p>
      </w:docPartBody>
    </w:docPart>
    <w:docPart>
      <w:docPartPr>
        <w:name w:val="FE1682BC9D9B4BCD89C6FB144133BA7B"/>
        <w:category>
          <w:name w:val="General"/>
          <w:gallery w:val="placeholder"/>
        </w:category>
        <w:types>
          <w:type w:val="bbPlcHdr"/>
        </w:types>
        <w:behaviors>
          <w:behavior w:val="content"/>
        </w:behaviors>
        <w:guid w:val="{2CF40B73-3856-4240-8CD2-9CA685BB8516}"/>
      </w:docPartPr>
      <w:docPartBody>
        <w:p w:rsidR="00AC48F9" w:rsidRDefault="00AC48F9" w:rsidP="00AC48F9">
          <w:pPr>
            <w:pStyle w:val="FE1682BC9D9B4BCD89C6FB144133BA7B"/>
          </w:pPr>
          <w:r w:rsidRPr="00666273">
            <w:rPr>
              <w:highlight w:val="yellow"/>
            </w:rPr>
            <w:t>[Project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9C5"/>
    <w:rsid w:val="001B6541"/>
    <w:rsid w:val="001C3F35"/>
    <w:rsid w:val="002214FD"/>
    <w:rsid w:val="00244FCF"/>
    <w:rsid w:val="002470C6"/>
    <w:rsid w:val="002854D0"/>
    <w:rsid w:val="0028733E"/>
    <w:rsid w:val="003C7751"/>
    <w:rsid w:val="004E6AED"/>
    <w:rsid w:val="00780F77"/>
    <w:rsid w:val="009809C5"/>
    <w:rsid w:val="00A53F5F"/>
    <w:rsid w:val="00A87EB0"/>
    <w:rsid w:val="00AC48F9"/>
    <w:rsid w:val="00AF3B53"/>
    <w:rsid w:val="00CB1DC9"/>
    <w:rsid w:val="00D66470"/>
    <w:rsid w:val="00E3380F"/>
    <w:rsid w:val="00FD4F1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D5A149BFD894CDAB34A7BA12BD1CED1">
    <w:name w:val="AD5A149BFD894CDAB34A7BA12BD1CED1"/>
  </w:style>
  <w:style w:type="paragraph" w:customStyle="1" w:styleId="293FE20839CF457181870D337ABB2A4D">
    <w:name w:val="293FE20839CF457181870D337ABB2A4D"/>
  </w:style>
  <w:style w:type="paragraph" w:customStyle="1" w:styleId="4979B54BE6234BF3A324E14E69FC8719">
    <w:name w:val="4979B54BE6234BF3A324E14E69FC8719"/>
  </w:style>
  <w:style w:type="paragraph" w:customStyle="1" w:styleId="7F652BC043AE4E08A096D4663311250D">
    <w:name w:val="7F652BC043AE4E08A096D4663311250D"/>
  </w:style>
  <w:style w:type="character" w:styleId="PlaceholderText">
    <w:name w:val="Placeholder Text"/>
    <w:basedOn w:val="DefaultParagraphFont"/>
    <w:uiPriority w:val="99"/>
    <w:semiHidden/>
    <w:rPr>
      <w:color w:val="808080"/>
    </w:rPr>
  </w:style>
  <w:style w:type="paragraph" w:customStyle="1" w:styleId="CB396F33A1A849C7A6C407AE71F72CC1">
    <w:name w:val="CB396F33A1A849C7A6C407AE71F72CC1"/>
  </w:style>
  <w:style w:type="paragraph" w:customStyle="1" w:styleId="ACB7E8B1CAF6450D92F52D5A172D38E2">
    <w:name w:val="ACB7E8B1CAF6450D92F52D5A172D38E2"/>
  </w:style>
  <w:style w:type="paragraph" w:customStyle="1" w:styleId="A57E9B842CCA498481FA51DE8EA000D1">
    <w:name w:val="A57E9B842CCA498481FA51DE8EA000D1"/>
  </w:style>
  <w:style w:type="paragraph" w:customStyle="1" w:styleId="9838E467757E4A79BED44E552BB7B853">
    <w:name w:val="9838E467757E4A79BED44E552BB7B853"/>
    <w:rsid w:val="009809C5"/>
    <w:pPr>
      <w:spacing w:line="278" w:lineRule="auto"/>
    </w:pPr>
    <w:rPr>
      <w:sz w:val="24"/>
      <w:szCs w:val="24"/>
    </w:rPr>
  </w:style>
  <w:style w:type="paragraph" w:customStyle="1" w:styleId="AA2CA1451AAC4F74999A5051F3A1CBD6">
    <w:name w:val="AA2CA1451AAC4F74999A5051F3A1CBD6"/>
    <w:rsid w:val="009809C5"/>
    <w:pPr>
      <w:spacing w:line="278" w:lineRule="auto"/>
    </w:pPr>
    <w:rPr>
      <w:sz w:val="24"/>
      <w:szCs w:val="24"/>
    </w:rPr>
  </w:style>
  <w:style w:type="paragraph" w:customStyle="1" w:styleId="7EB09C6EDEBC4E97A3ECC2B520A04CA2">
    <w:name w:val="7EB09C6EDEBC4E97A3ECC2B520A04CA2"/>
    <w:rsid w:val="009809C5"/>
    <w:pPr>
      <w:spacing w:line="278" w:lineRule="auto"/>
    </w:pPr>
    <w:rPr>
      <w:sz w:val="24"/>
      <w:szCs w:val="24"/>
    </w:rPr>
  </w:style>
  <w:style w:type="paragraph" w:customStyle="1" w:styleId="EFAB473F4417411F903812474B80BEFC">
    <w:name w:val="EFAB473F4417411F903812474B80BEFC"/>
    <w:rsid w:val="00AC48F9"/>
    <w:pPr>
      <w:spacing w:line="278" w:lineRule="auto"/>
    </w:pPr>
    <w:rPr>
      <w:sz w:val="24"/>
      <w:szCs w:val="24"/>
    </w:rPr>
  </w:style>
  <w:style w:type="paragraph" w:customStyle="1" w:styleId="66A2FC8C61A34F2BA53220E4BBDCDB65">
    <w:name w:val="66A2FC8C61A34F2BA53220E4BBDCDB65"/>
    <w:rsid w:val="00AC48F9"/>
    <w:pPr>
      <w:spacing w:line="278" w:lineRule="auto"/>
    </w:pPr>
    <w:rPr>
      <w:sz w:val="24"/>
      <w:szCs w:val="24"/>
    </w:rPr>
  </w:style>
  <w:style w:type="paragraph" w:customStyle="1" w:styleId="FE1682BC9D9B4BCD89C6FB144133BA7B">
    <w:name w:val="FE1682BC9D9B4BCD89C6FB144133BA7B"/>
    <w:rsid w:val="00AC48F9"/>
    <w:pPr>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Water Technology - Contrast">
      <a:dk1>
        <a:sysClr val="windowText" lastClr="000000"/>
      </a:dk1>
      <a:lt1>
        <a:sysClr val="window" lastClr="FFFFFF"/>
      </a:lt1>
      <a:dk2>
        <a:srgbClr val="59595B"/>
      </a:dk2>
      <a:lt2>
        <a:srgbClr val="F2F2F2"/>
      </a:lt2>
      <a:accent1>
        <a:srgbClr val="0278AD"/>
      </a:accent1>
      <a:accent2>
        <a:srgbClr val="FCB717"/>
      </a:accent2>
      <a:accent3>
        <a:srgbClr val="6EB444"/>
      </a:accent3>
      <a:accent4>
        <a:srgbClr val="FF8000"/>
      </a:accent4>
      <a:accent5>
        <a:srgbClr val="CC003F"/>
      </a:accent5>
      <a:accent6>
        <a:srgbClr val="7C3877"/>
      </a:accent6>
      <a:hlink>
        <a:srgbClr val="0278AD"/>
      </a:hlink>
      <a:folHlink>
        <a:srgbClr val="0278AD"/>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chemeClr val="accent2"/>
        </a:solidFill>
        <a:ln>
          <a:noFill/>
        </a:ln>
        <a:effectLst/>
      </a:spPr>
      <a:bodyPr rot="0" vert="horz" wrap="square" lIns="72000" tIns="72000" rIns="72000" bIns="72000" anchor="ctr" anchorCtr="0" upright="1">
        <a:sp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2024-04-19T00:00:00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WaterTech xmlns="http://WaterTech.com.au">
  <DocumentDate/>
  <ClientProjectManager>Adrian Nicoll</ClientProjectManager>
  <ClientPositionTitle>Senior Planning Officer – Strategic Planning</ClientPositionTitle>
  <ClientName>City of Albany</ClientName>
  <ClientAddress>PO Box 484, Albany, WA, 6331</ClientAddress>
  <ClientEmail>Adrian.nicoll@albany.wa.gov.au</ClientEmail>
  <ClientABN/>
  <ProjectName>Summary Document</ProjectName>
  <WaterTechProjectManager>Astrid Stuer</WaterTechProjectManager>
  <WaterTechPositionTitle>Principal Coastal Engineer</WaterTechPositionTitle>
  <WaterTechEmail>Astrid.Stuer@watertech.com.au</WaterTechEmail>
  <WaterTechProjectDirector>Gildas Colleter</WaterTechProjectDirector>
</WaterTech>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15D8016-48F4-4C6B-B3D4-90606DD7C41E}">
  <ds:schemaRefs>
    <ds:schemaRef ds:uri="http://schemas.openxmlformats.org/officeDocument/2006/bibliography"/>
  </ds:schemaRefs>
</ds:datastoreItem>
</file>

<file path=customXml/itemProps3.xml><?xml version="1.0" encoding="utf-8"?>
<ds:datastoreItem xmlns:ds="http://schemas.openxmlformats.org/officeDocument/2006/customXml" ds:itemID="{1214C560-496F-4E2F-AD2C-EBE50458B507}">
  <ds:schemaRefs>
    <ds:schemaRef ds:uri="http://WaterTech.com.au"/>
  </ds:schemaRefs>
</ds:datastoreItem>
</file>

<file path=docProps/app.xml><?xml version="1.0" encoding="utf-8"?>
<Properties xmlns="http://schemas.openxmlformats.org/officeDocument/2006/extended-properties" xmlns:vt="http://schemas.openxmlformats.org/officeDocument/2006/docPropsVTypes">
  <Template>Report</Template>
  <TotalTime>23</TotalTime>
  <Pages>100</Pages>
  <Words>28458</Words>
  <Characters>157942</Characters>
  <Application>Microsoft Office Word</Application>
  <DocSecurity>0</DocSecurity>
  <Lines>5264</Lines>
  <Paragraphs>3270</Paragraphs>
  <ScaleCrop>false</ScaleCrop>
  <HeadingPairs>
    <vt:vector size="2" baseType="variant">
      <vt:variant>
        <vt:lpstr>Title</vt:lpstr>
      </vt:variant>
      <vt:variant>
        <vt:i4>1</vt:i4>
      </vt:variant>
    </vt:vector>
  </HeadingPairs>
  <TitlesOfParts>
    <vt:vector size="1" baseType="lpstr">
      <vt:lpstr>Princess Royal Harbour CHRMAP</vt:lpstr>
    </vt:vector>
  </TitlesOfParts>
  <Company/>
  <LinksUpToDate>false</LinksUpToDate>
  <CharactersWithSpaces>183130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Princess Royal Harbour CHRMAP</dc:title>
  <dc:creator>Karl Ilich</dc:creator>
  <dc:description>Rev_Dec2023</dc:description>
  <cp:lastModifiedBy>Karl Ilich</cp:lastModifiedBy>
  <cp:revision>5</cp:revision>
  <cp:lastPrinted>2013-02-13T02:39:00Z</cp:lastPrinted>
  <dcterms:created xsi:type="dcterms:W3CDTF">2024-04-19T06:21:00Z</dcterms:created>
  <dcterms:modified xsi:type="dcterms:W3CDTF">2024-04-19T06:45:00Z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aption Heading">
    <vt:lpwstr>1</vt:lpwstr>
  </property>
</Properties>
</file>