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E886" w14:textId="77777777" w:rsidR="00DE63E8" w:rsidRPr="00B77E83" w:rsidRDefault="007B08AA" w:rsidP="00B77E83">
      <w:pPr>
        <w:jc w:val="center"/>
        <w:rPr>
          <w:b/>
          <w:color w:val="0070C0"/>
          <w:sz w:val="28"/>
          <w:szCs w:val="28"/>
        </w:rPr>
      </w:pPr>
      <w:r w:rsidRPr="00B77E83">
        <w:rPr>
          <w:b/>
          <w:color w:val="0070C0"/>
          <w:sz w:val="28"/>
          <w:szCs w:val="28"/>
        </w:rPr>
        <w:t>Body Worn Camera Policy</w:t>
      </w:r>
    </w:p>
    <w:p w14:paraId="3F9F20E4" w14:textId="77777777" w:rsidR="0035573F" w:rsidRPr="00666F13" w:rsidRDefault="0035573F" w:rsidP="00666F13">
      <w:pPr>
        <w:pStyle w:val="Heading1"/>
      </w:pPr>
      <w:bookmarkStart w:id="0" w:name="_Toc395782886"/>
      <w:bookmarkStart w:id="1" w:name="_Toc395782887"/>
      <w:r w:rsidRPr="00666F13">
        <w:t>Objective</w:t>
      </w:r>
      <w:bookmarkEnd w:id="1"/>
    </w:p>
    <w:p w14:paraId="56BD9DB3" w14:textId="1E2B92F8" w:rsidR="0019771E" w:rsidRPr="00AF4B0C" w:rsidRDefault="0019771E" w:rsidP="00AF4B0C">
      <w:pPr>
        <w:spacing w:line="240" w:lineRule="auto"/>
        <w:rPr>
          <w:rFonts w:cs="Arial"/>
        </w:rPr>
      </w:pPr>
      <w:bookmarkStart w:id="2" w:name="_Toc395782888"/>
      <w:r w:rsidRPr="00AF4B0C">
        <w:rPr>
          <w:rFonts w:cs="Arial"/>
        </w:rPr>
        <w:t>To provide guidance and the framework for wearing, operating, activation, data storage and includes the use of recorded data of Body Worn Cameras (BWC) by City of Albany (</w:t>
      </w:r>
      <w:r w:rsidR="00B77E83" w:rsidRPr="00AF4B0C">
        <w:rPr>
          <w:rFonts w:cs="Arial"/>
        </w:rPr>
        <w:t>City</w:t>
      </w:r>
      <w:r w:rsidRPr="00AF4B0C">
        <w:rPr>
          <w:rFonts w:cs="Arial"/>
        </w:rPr>
        <w:t xml:space="preserve">) </w:t>
      </w:r>
      <w:r w:rsidR="00B77E83" w:rsidRPr="00AF4B0C">
        <w:rPr>
          <w:rFonts w:cs="Arial"/>
        </w:rPr>
        <w:t xml:space="preserve">Authorised Persons </w:t>
      </w:r>
      <w:r w:rsidRPr="00AF4B0C">
        <w:rPr>
          <w:rFonts w:cs="Arial"/>
        </w:rPr>
        <w:t xml:space="preserve">to support the execution of duty and daily engagement with the community. </w:t>
      </w:r>
    </w:p>
    <w:p w14:paraId="4357B1D2" w14:textId="77777777" w:rsidR="0019771E" w:rsidRPr="00666F13" w:rsidRDefault="0019771E" w:rsidP="00AF4B0C">
      <w:pPr>
        <w:spacing w:line="240" w:lineRule="auto"/>
        <w:rPr>
          <w:rFonts w:cs="Arial"/>
          <w:sz w:val="8"/>
          <w:szCs w:val="8"/>
        </w:rPr>
      </w:pPr>
    </w:p>
    <w:p w14:paraId="164D9E4F" w14:textId="0E6B5D1D" w:rsidR="0019771E" w:rsidRPr="00AF4B0C" w:rsidRDefault="0019771E" w:rsidP="00AF4B0C">
      <w:pPr>
        <w:spacing w:line="240" w:lineRule="auto"/>
        <w:rPr>
          <w:rFonts w:cs="Arial"/>
        </w:rPr>
      </w:pPr>
      <w:r w:rsidRPr="00AF4B0C">
        <w:rPr>
          <w:rFonts w:cs="Arial"/>
        </w:rPr>
        <w:t xml:space="preserve">BWC technology aims to promote and maintain a safe workplace for </w:t>
      </w:r>
      <w:r w:rsidR="00B77E83">
        <w:rPr>
          <w:rFonts w:cs="Arial"/>
        </w:rPr>
        <w:t>Authorised Persons</w:t>
      </w:r>
      <w:r w:rsidR="00B77E83" w:rsidRPr="00AF4B0C">
        <w:rPr>
          <w:rFonts w:cs="Arial"/>
        </w:rPr>
        <w:t xml:space="preserve"> </w:t>
      </w:r>
      <w:r w:rsidRPr="00AF4B0C">
        <w:rPr>
          <w:rFonts w:cs="Arial"/>
        </w:rPr>
        <w:t xml:space="preserve">by discouraging and documenting interactions with aggressive persons and provide the means and opportunity to capture admissions and visual evidence during investigations and interactions with members of the public in the context of </w:t>
      </w:r>
      <w:proofErr w:type="gramStart"/>
      <w:r w:rsidRPr="00AF4B0C">
        <w:rPr>
          <w:rFonts w:cs="Arial"/>
        </w:rPr>
        <w:t>day to day</w:t>
      </w:r>
      <w:proofErr w:type="gramEnd"/>
      <w:r w:rsidRPr="00AF4B0C">
        <w:rPr>
          <w:rFonts w:cs="Arial"/>
        </w:rPr>
        <w:t xml:space="preserve"> </w:t>
      </w:r>
      <w:r w:rsidR="00B77E83">
        <w:rPr>
          <w:rFonts w:cs="Arial"/>
        </w:rPr>
        <w:t xml:space="preserve">Municipal Law Enforcement </w:t>
      </w:r>
      <w:r w:rsidRPr="00AF4B0C">
        <w:rPr>
          <w:rFonts w:cs="Arial"/>
        </w:rPr>
        <w:t>tasking</w:t>
      </w:r>
      <w:r w:rsidR="00B77E83">
        <w:rPr>
          <w:rFonts w:cs="Arial"/>
        </w:rPr>
        <w:t>s</w:t>
      </w:r>
      <w:r w:rsidRPr="00AF4B0C">
        <w:rPr>
          <w:rFonts w:cs="Arial"/>
        </w:rPr>
        <w:t xml:space="preserve">. </w:t>
      </w:r>
    </w:p>
    <w:p w14:paraId="3ABEE815" w14:textId="77777777" w:rsidR="0019771E" w:rsidRPr="00666F13" w:rsidRDefault="0019771E" w:rsidP="00AF4B0C">
      <w:pPr>
        <w:spacing w:line="240" w:lineRule="auto"/>
        <w:rPr>
          <w:sz w:val="8"/>
          <w:szCs w:val="8"/>
        </w:rPr>
      </w:pPr>
    </w:p>
    <w:p w14:paraId="48DA4DFD" w14:textId="77777777" w:rsidR="006C0E77" w:rsidRPr="00B77E83" w:rsidRDefault="006C0E77" w:rsidP="00666F13">
      <w:pPr>
        <w:pStyle w:val="Heading1"/>
      </w:pPr>
      <w:r w:rsidRPr="00B77E83">
        <w:t>Scope</w:t>
      </w:r>
      <w:bookmarkEnd w:id="2"/>
    </w:p>
    <w:p w14:paraId="79EEAD03" w14:textId="4C391211" w:rsidR="0019771E" w:rsidRPr="00AF4B0C" w:rsidRDefault="0019771E" w:rsidP="00AF4B0C">
      <w:pPr>
        <w:spacing w:line="240" w:lineRule="auto"/>
        <w:rPr>
          <w:rFonts w:cs="Arial"/>
        </w:rPr>
      </w:pPr>
      <w:r w:rsidRPr="00AF4B0C">
        <w:rPr>
          <w:rFonts w:cs="Arial"/>
        </w:rPr>
        <w:t>This</w:t>
      </w:r>
      <w:r w:rsidR="00F42E34">
        <w:rPr>
          <w:rFonts w:cs="Arial"/>
        </w:rPr>
        <w:t xml:space="preserve"> policy</w:t>
      </w:r>
      <w:r w:rsidRPr="00AF4B0C">
        <w:rPr>
          <w:rFonts w:cs="Arial"/>
        </w:rPr>
        <w:t xml:space="preserve"> applies</w:t>
      </w:r>
      <w:r w:rsidR="00C6016B" w:rsidRPr="00AF4B0C">
        <w:rPr>
          <w:rFonts w:cs="Arial"/>
        </w:rPr>
        <w:t xml:space="preserve"> to</w:t>
      </w:r>
      <w:r w:rsidRPr="00AF4B0C">
        <w:rPr>
          <w:rFonts w:cs="Arial"/>
        </w:rPr>
        <w:t>:</w:t>
      </w:r>
    </w:p>
    <w:p w14:paraId="54703E94" w14:textId="77777777" w:rsidR="0019771E" w:rsidRPr="00666F13" w:rsidRDefault="0019771E" w:rsidP="00AF4B0C">
      <w:pPr>
        <w:spacing w:line="240" w:lineRule="auto"/>
        <w:rPr>
          <w:rFonts w:cs="Arial"/>
          <w:sz w:val="8"/>
          <w:szCs w:val="8"/>
        </w:rPr>
      </w:pPr>
    </w:p>
    <w:p w14:paraId="711DA295" w14:textId="3F454523" w:rsidR="0019771E" w:rsidRPr="00AF4B0C" w:rsidRDefault="00B77E83" w:rsidP="00AF4B0C">
      <w:pPr>
        <w:numPr>
          <w:ilvl w:val="0"/>
          <w:numId w:val="46"/>
        </w:numPr>
        <w:spacing w:after="200" w:line="240" w:lineRule="auto"/>
        <w:contextualSpacing/>
        <w:rPr>
          <w:rFonts w:cs="Arial"/>
        </w:rPr>
      </w:pPr>
      <w:r>
        <w:rPr>
          <w:rFonts w:cs="Arial"/>
        </w:rPr>
        <w:t xml:space="preserve">City Authorised </w:t>
      </w:r>
      <w:r w:rsidR="00666F13">
        <w:rPr>
          <w:rFonts w:cs="Arial"/>
        </w:rPr>
        <w:t xml:space="preserve">Persons </w:t>
      </w:r>
      <w:r w:rsidR="00666F13" w:rsidRPr="00AF4B0C">
        <w:rPr>
          <w:rFonts w:cs="Arial"/>
        </w:rPr>
        <w:t>trained</w:t>
      </w:r>
      <w:r w:rsidR="0019771E" w:rsidRPr="00AF4B0C">
        <w:rPr>
          <w:rFonts w:cs="Arial"/>
        </w:rPr>
        <w:t xml:space="preserve"> in the use </w:t>
      </w:r>
      <w:r w:rsidR="00F80E1C" w:rsidRPr="00AF4B0C">
        <w:rPr>
          <w:rFonts w:cs="Arial"/>
        </w:rPr>
        <w:t>of and</w:t>
      </w:r>
      <w:r w:rsidR="0019771E" w:rsidRPr="00AF4B0C">
        <w:rPr>
          <w:rFonts w:cs="Arial"/>
        </w:rPr>
        <w:t xml:space="preserve"> approved to wear BWCs by the Chief Executive Officer (CEO).</w:t>
      </w:r>
    </w:p>
    <w:p w14:paraId="18F320C6" w14:textId="041371C7" w:rsidR="0019771E" w:rsidRPr="00AF4B0C" w:rsidRDefault="00B77E83" w:rsidP="00AF4B0C">
      <w:pPr>
        <w:numPr>
          <w:ilvl w:val="0"/>
          <w:numId w:val="46"/>
        </w:numPr>
        <w:spacing w:after="200" w:line="240" w:lineRule="auto"/>
        <w:contextualSpacing/>
        <w:rPr>
          <w:rFonts w:cs="Arial"/>
        </w:rPr>
      </w:pPr>
      <w:r>
        <w:rPr>
          <w:rFonts w:cs="Arial"/>
        </w:rPr>
        <w:t xml:space="preserve">Line </w:t>
      </w:r>
      <w:r w:rsidR="0019771E" w:rsidRPr="00AF4B0C">
        <w:rPr>
          <w:rFonts w:cs="Arial"/>
        </w:rPr>
        <w:t xml:space="preserve">Managers </w:t>
      </w:r>
      <w:r>
        <w:rPr>
          <w:rFonts w:cs="Arial"/>
        </w:rPr>
        <w:t>responsible for Authorised Persons</w:t>
      </w:r>
      <w:r w:rsidR="0019771E" w:rsidRPr="00AF4B0C">
        <w:rPr>
          <w:rFonts w:cs="Arial"/>
        </w:rPr>
        <w:t xml:space="preserve"> </w:t>
      </w:r>
      <w:r>
        <w:rPr>
          <w:rFonts w:cs="Arial"/>
        </w:rPr>
        <w:t xml:space="preserve">and Information Technology (IT) Support Officers, </w:t>
      </w:r>
      <w:r w:rsidR="0019771E" w:rsidRPr="00AF4B0C">
        <w:rPr>
          <w:rFonts w:cs="Arial"/>
        </w:rPr>
        <w:t>insofar as they have supervisory and technical responsibilities in relation to BWC data storage and disposal.</w:t>
      </w:r>
    </w:p>
    <w:p w14:paraId="423CFC1C" w14:textId="77777777" w:rsidR="00DE63E8" w:rsidRPr="00B77E83" w:rsidRDefault="00DE63E8" w:rsidP="00666F13">
      <w:pPr>
        <w:pStyle w:val="Heading1"/>
      </w:pPr>
      <w:r w:rsidRPr="00B77E83">
        <w:t>Policy Statement</w:t>
      </w:r>
      <w:bookmarkEnd w:id="0"/>
    </w:p>
    <w:p w14:paraId="38A09025" w14:textId="77777777" w:rsidR="0099567B" w:rsidRPr="00B77E83" w:rsidRDefault="0099567B" w:rsidP="00B77E83">
      <w:pPr>
        <w:rPr>
          <w:b/>
          <w:bCs/>
        </w:rPr>
      </w:pPr>
      <w:r w:rsidRPr="00B77E83">
        <w:rPr>
          <w:b/>
          <w:bCs/>
        </w:rPr>
        <w:t>Policies and Procedures</w:t>
      </w:r>
    </w:p>
    <w:p w14:paraId="02C6AA58" w14:textId="77777777" w:rsidR="0099567B" w:rsidRPr="00666F13" w:rsidRDefault="0099567B" w:rsidP="00666F13">
      <w:pPr>
        <w:rPr>
          <w:bCs/>
          <w:sz w:val="8"/>
          <w:szCs w:val="8"/>
        </w:rPr>
      </w:pPr>
    </w:p>
    <w:p w14:paraId="1A81AFB6" w14:textId="77777777" w:rsidR="0099567B" w:rsidRPr="00B77E83" w:rsidRDefault="0099567B" w:rsidP="00B77E83">
      <w:pPr>
        <w:rPr>
          <w:bCs/>
        </w:rPr>
      </w:pPr>
      <w:r w:rsidRPr="00B77E83">
        <w:rPr>
          <w:bCs/>
        </w:rPr>
        <w:t xml:space="preserve">Separate procedural guidelines (activation framework) have been developed to support the implementation of this policy and direct the wearing, use, </w:t>
      </w:r>
      <w:proofErr w:type="gramStart"/>
      <w:r w:rsidRPr="00B77E83">
        <w:rPr>
          <w:bCs/>
        </w:rPr>
        <w:t>auditing</w:t>
      </w:r>
      <w:proofErr w:type="gramEnd"/>
      <w:r w:rsidRPr="00B77E83">
        <w:rPr>
          <w:bCs/>
        </w:rPr>
        <w:t xml:space="preserve"> and management of BWCs and recorded data. </w:t>
      </w:r>
    </w:p>
    <w:p w14:paraId="7C3EA65E" w14:textId="674CED31" w:rsidR="0099567B" w:rsidRPr="00666F13" w:rsidRDefault="0099567B" w:rsidP="00B77E83">
      <w:pPr>
        <w:rPr>
          <w:bCs/>
          <w:sz w:val="8"/>
          <w:szCs w:val="8"/>
        </w:rPr>
      </w:pPr>
    </w:p>
    <w:p w14:paraId="0A815F69" w14:textId="77777777" w:rsidR="0099567B" w:rsidRPr="00B77E83" w:rsidRDefault="0099567B" w:rsidP="00B77E83">
      <w:pPr>
        <w:rPr>
          <w:b/>
          <w:bCs/>
        </w:rPr>
      </w:pPr>
      <w:r w:rsidRPr="00B77E83">
        <w:rPr>
          <w:b/>
          <w:bCs/>
        </w:rPr>
        <w:t>Recording an incident</w:t>
      </w:r>
    </w:p>
    <w:p w14:paraId="2035EAFB" w14:textId="77777777" w:rsidR="0099567B" w:rsidRPr="00666F13" w:rsidRDefault="0099567B" w:rsidP="00B77E83">
      <w:pPr>
        <w:rPr>
          <w:bCs/>
          <w:sz w:val="8"/>
          <w:szCs w:val="8"/>
        </w:rPr>
      </w:pPr>
    </w:p>
    <w:p w14:paraId="4F845CA0" w14:textId="3AC1291E" w:rsidR="0099567B" w:rsidRPr="00B77E83" w:rsidRDefault="0099567B" w:rsidP="008E032D">
      <w:pPr>
        <w:rPr>
          <w:bCs/>
        </w:rPr>
      </w:pPr>
      <w:r w:rsidRPr="00B77E83">
        <w:rPr>
          <w:bCs/>
        </w:rPr>
        <w:t xml:space="preserve">Approved officers must activate BWC recording when it is safe and practicable to do so and when the approved </w:t>
      </w:r>
      <w:r w:rsidR="008E032D">
        <w:rPr>
          <w:bCs/>
        </w:rPr>
        <w:t xml:space="preserve">person </w:t>
      </w:r>
      <w:r w:rsidRPr="00B77E83">
        <w:rPr>
          <w:bCs/>
        </w:rPr>
        <w:t>reasonably believes its use will:</w:t>
      </w:r>
    </w:p>
    <w:p w14:paraId="23E23DDE" w14:textId="77777777" w:rsidR="0099567B" w:rsidRPr="00666F13" w:rsidRDefault="0099567B" w:rsidP="008E032D">
      <w:pPr>
        <w:rPr>
          <w:bCs/>
          <w:sz w:val="8"/>
          <w:szCs w:val="8"/>
        </w:rPr>
      </w:pPr>
    </w:p>
    <w:p w14:paraId="396C3C06" w14:textId="7EC4ED16" w:rsidR="0099567B" w:rsidRPr="008E032D" w:rsidRDefault="0099567B" w:rsidP="00AF4B0C">
      <w:pPr>
        <w:pStyle w:val="ListParagraph"/>
        <w:numPr>
          <w:ilvl w:val="0"/>
          <w:numId w:val="49"/>
        </w:numPr>
        <w:rPr>
          <w:bCs/>
        </w:rPr>
      </w:pPr>
      <w:r w:rsidRPr="008E032D">
        <w:rPr>
          <w:bCs/>
        </w:rPr>
        <w:t xml:space="preserve">Provide transparency and a factual record of actions and </w:t>
      </w:r>
      <w:proofErr w:type="gramStart"/>
      <w:r w:rsidRPr="008E032D">
        <w:rPr>
          <w:bCs/>
        </w:rPr>
        <w:t>events</w:t>
      </w:r>
      <w:r w:rsidR="008E032D">
        <w:rPr>
          <w:bCs/>
        </w:rPr>
        <w:t>;</w:t>
      </w:r>
      <w:proofErr w:type="gramEnd"/>
      <w:r w:rsidR="008E032D">
        <w:rPr>
          <w:bCs/>
        </w:rPr>
        <w:t xml:space="preserve"> </w:t>
      </w:r>
    </w:p>
    <w:p w14:paraId="161A747D" w14:textId="1F533CEA" w:rsidR="008E032D" w:rsidRDefault="0099567B" w:rsidP="008E032D">
      <w:pPr>
        <w:pStyle w:val="ListParagraph"/>
        <w:numPr>
          <w:ilvl w:val="0"/>
          <w:numId w:val="49"/>
        </w:numPr>
        <w:rPr>
          <w:bCs/>
        </w:rPr>
      </w:pPr>
      <w:r w:rsidRPr="008E032D">
        <w:rPr>
          <w:bCs/>
        </w:rPr>
        <w:t>Where they have reasonable concern for their safety or welfare (or that of another person</w:t>
      </w:r>
      <w:proofErr w:type="gramStart"/>
      <w:r w:rsidRPr="008E032D">
        <w:rPr>
          <w:bCs/>
        </w:rPr>
        <w:t>)</w:t>
      </w:r>
      <w:r w:rsidR="008E032D">
        <w:rPr>
          <w:bCs/>
        </w:rPr>
        <w:t>;</w:t>
      </w:r>
      <w:proofErr w:type="gramEnd"/>
    </w:p>
    <w:p w14:paraId="66F93868" w14:textId="77777777" w:rsidR="00666F13" w:rsidRDefault="0099567B" w:rsidP="00AF4B0C">
      <w:pPr>
        <w:pStyle w:val="ListParagraph"/>
        <w:numPr>
          <w:ilvl w:val="0"/>
          <w:numId w:val="49"/>
        </w:numPr>
        <w:rPr>
          <w:bCs/>
        </w:rPr>
      </w:pPr>
      <w:r w:rsidRPr="008E032D">
        <w:rPr>
          <w:bCs/>
        </w:rPr>
        <w:t>If an occupational violence incident occurs or their evaluation indicates the occurrence of an incident is imminent</w:t>
      </w:r>
      <w:r w:rsidR="00666F13">
        <w:rPr>
          <w:bCs/>
        </w:rPr>
        <w:t xml:space="preserve">; </w:t>
      </w:r>
    </w:p>
    <w:p w14:paraId="5C8F5A04" w14:textId="3EEC0D69" w:rsidR="0099567B" w:rsidRPr="008E032D" w:rsidRDefault="0099567B" w:rsidP="00AF4B0C">
      <w:pPr>
        <w:pStyle w:val="ListParagraph"/>
        <w:numPr>
          <w:ilvl w:val="0"/>
          <w:numId w:val="49"/>
        </w:numPr>
        <w:rPr>
          <w:bCs/>
        </w:rPr>
      </w:pPr>
      <w:r w:rsidRPr="008E032D">
        <w:rPr>
          <w:bCs/>
        </w:rPr>
        <w:t xml:space="preserve">To assist in capturing evidence of a breach of an Act, </w:t>
      </w:r>
      <w:r w:rsidR="00666F13" w:rsidRPr="008E032D">
        <w:rPr>
          <w:bCs/>
        </w:rPr>
        <w:t>legislation,</w:t>
      </w:r>
      <w:r w:rsidRPr="008E032D">
        <w:rPr>
          <w:bCs/>
        </w:rPr>
        <w:t xml:space="preserve"> or local law the </w:t>
      </w:r>
      <w:proofErr w:type="gramStart"/>
      <w:r w:rsidRPr="008E032D">
        <w:rPr>
          <w:bCs/>
        </w:rPr>
        <w:t>City</w:t>
      </w:r>
      <w:proofErr w:type="gramEnd"/>
      <w:r w:rsidRPr="008E032D">
        <w:rPr>
          <w:bCs/>
        </w:rPr>
        <w:t xml:space="preserve"> is responsible for.</w:t>
      </w:r>
    </w:p>
    <w:p w14:paraId="027D3F4C" w14:textId="76BBFBE2" w:rsidR="0099567B" w:rsidRPr="008E032D" w:rsidRDefault="0099567B" w:rsidP="00AF4B0C">
      <w:pPr>
        <w:pStyle w:val="ListParagraph"/>
        <w:numPr>
          <w:ilvl w:val="0"/>
          <w:numId w:val="49"/>
        </w:numPr>
        <w:rPr>
          <w:bCs/>
        </w:rPr>
      </w:pPr>
      <w:r w:rsidRPr="008E032D">
        <w:rPr>
          <w:bCs/>
        </w:rPr>
        <w:t>Improve interaction with a member of the public or community</w:t>
      </w:r>
      <w:r w:rsidR="008E032D">
        <w:rPr>
          <w:bCs/>
        </w:rPr>
        <w:t xml:space="preserve">; and </w:t>
      </w:r>
    </w:p>
    <w:p w14:paraId="19F1F30B" w14:textId="77777777" w:rsidR="0099567B" w:rsidRPr="008E032D" w:rsidRDefault="0099567B" w:rsidP="00AF4B0C">
      <w:pPr>
        <w:pStyle w:val="ListParagraph"/>
        <w:numPr>
          <w:ilvl w:val="0"/>
          <w:numId w:val="49"/>
        </w:numPr>
        <w:rPr>
          <w:bCs/>
        </w:rPr>
      </w:pPr>
      <w:r w:rsidRPr="008E032D">
        <w:rPr>
          <w:bCs/>
        </w:rPr>
        <w:t>As directed by their supervisor for purposes related to safety or welfare of employees or other persons, or for training purposes where none of the above apply and other persons have been informed the reason for the activation and are a party to the training.</w:t>
      </w:r>
    </w:p>
    <w:p w14:paraId="7205BBD2" w14:textId="77777777" w:rsidR="0099567B" w:rsidRPr="00666F13" w:rsidRDefault="0099567B" w:rsidP="008E032D">
      <w:pPr>
        <w:rPr>
          <w:bCs/>
          <w:sz w:val="8"/>
          <w:szCs w:val="8"/>
        </w:rPr>
      </w:pPr>
    </w:p>
    <w:p w14:paraId="61035B6D" w14:textId="36577FF1" w:rsidR="0099567B" w:rsidRPr="00B77E83" w:rsidRDefault="0099567B" w:rsidP="008E032D">
      <w:pPr>
        <w:rPr>
          <w:bCs/>
        </w:rPr>
      </w:pPr>
      <w:r w:rsidRPr="00B77E83">
        <w:rPr>
          <w:bCs/>
        </w:rPr>
        <w:t xml:space="preserve">Prior to activating the BWC recording, or as soon as practicable after the recording commences and it is safe to do so, the </w:t>
      </w:r>
      <w:r w:rsidR="008E032D">
        <w:rPr>
          <w:bCs/>
        </w:rPr>
        <w:t>Authorised Person</w:t>
      </w:r>
      <w:r w:rsidRPr="00B77E83">
        <w:rPr>
          <w:bCs/>
        </w:rPr>
        <w:t xml:space="preserve"> must verbally alert all parties in the immediate vicinity that the interaction is being recorded on a BWC. The alert should focus on the use of the device for the protection of all parties.</w:t>
      </w:r>
    </w:p>
    <w:p w14:paraId="58D7536A" w14:textId="77777777" w:rsidR="0099567B" w:rsidRPr="00666F13" w:rsidRDefault="0099567B" w:rsidP="008E032D">
      <w:pPr>
        <w:rPr>
          <w:bCs/>
          <w:sz w:val="8"/>
          <w:szCs w:val="8"/>
        </w:rPr>
      </w:pPr>
    </w:p>
    <w:p w14:paraId="57A7FC26" w14:textId="77777777" w:rsidR="0099567B" w:rsidRPr="00B77E83" w:rsidRDefault="0099567B" w:rsidP="008E032D">
      <w:pPr>
        <w:rPr>
          <w:bCs/>
        </w:rPr>
      </w:pPr>
      <w:r w:rsidRPr="00B77E83">
        <w:rPr>
          <w:bCs/>
        </w:rPr>
        <w:t>A BWC should only be de-activated where it is safe and practicable to do so and when the approved officer reasonably believes there is no longer an operational reason for its use.</w:t>
      </w:r>
    </w:p>
    <w:p w14:paraId="62811432" w14:textId="77777777" w:rsidR="0099567B" w:rsidRPr="00666F13" w:rsidRDefault="0099567B" w:rsidP="008E032D">
      <w:pPr>
        <w:rPr>
          <w:bCs/>
          <w:sz w:val="8"/>
          <w:szCs w:val="8"/>
        </w:rPr>
      </w:pPr>
    </w:p>
    <w:p w14:paraId="0CF0AC91" w14:textId="01AD1009" w:rsidR="0099567B" w:rsidRPr="00B77E83" w:rsidRDefault="0099567B" w:rsidP="008E032D">
      <w:pPr>
        <w:rPr>
          <w:bCs/>
        </w:rPr>
      </w:pPr>
      <w:r w:rsidRPr="00B77E83">
        <w:rPr>
          <w:bCs/>
        </w:rPr>
        <w:t xml:space="preserve">BWC recording will not be activated except in accordance with this policy and the activation framework. If an </w:t>
      </w:r>
      <w:r w:rsidR="00FF1C45">
        <w:rPr>
          <w:bCs/>
        </w:rPr>
        <w:t>authorised</w:t>
      </w:r>
      <w:r w:rsidR="00FF1C45" w:rsidRPr="00B77E83">
        <w:rPr>
          <w:bCs/>
        </w:rPr>
        <w:t xml:space="preserve"> </w:t>
      </w:r>
      <w:r w:rsidR="00666F13">
        <w:rPr>
          <w:bCs/>
        </w:rPr>
        <w:t xml:space="preserve">person </w:t>
      </w:r>
      <w:r w:rsidR="00666F13" w:rsidRPr="00B77E83">
        <w:rPr>
          <w:bCs/>
        </w:rPr>
        <w:t>becomes</w:t>
      </w:r>
      <w:r w:rsidRPr="00B77E83">
        <w:rPr>
          <w:bCs/>
        </w:rPr>
        <w:t xml:space="preserve"> aware that recording has commenced inadvertently, the camera must be turned off immediately and the activation documented. </w:t>
      </w:r>
    </w:p>
    <w:p w14:paraId="0818E775" w14:textId="77777777" w:rsidR="0099567B" w:rsidRPr="00666F13" w:rsidRDefault="0099567B" w:rsidP="00B77E83">
      <w:pPr>
        <w:rPr>
          <w:bCs/>
          <w:sz w:val="8"/>
          <w:szCs w:val="8"/>
        </w:rPr>
      </w:pPr>
    </w:p>
    <w:p w14:paraId="3E74307F" w14:textId="05A522C2" w:rsidR="0099567B" w:rsidRPr="00B77E83" w:rsidRDefault="0099567B" w:rsidP="00B77E83">
      <w:pPr>
        <w:rPr>
          <w:bCs/>
        </w:rPr>
      </w:pPr>
      <w:r w:rsidRPr="00B77E83">
        <w:rPr>
          <w:bCs/>
        </w:rPr>
        <w:t>Wilfully activating the BWC recording for any unauthori</w:t>
      </w:r>
      <w:r w:rsidR="008E032D">
        <w:rPr>
          <w:bCs/>
        </w:rPr>
        <w:t>s</w:t>
      </w:r>
      <w:r w:rsidRPr="00B77E83">
        <w:rPr>
          <w:bCs/>
        </w:rPr>
        <w:t xml:space="preserve">ed purpose may deemed to be a criminal offence and may result in disciplinary and legal action. </w:t>
      </w:r>
    </w:p>
    <w:p w14:paraId="0A754C6F" w14:textId="77777777" w:rsidR="0099567B" w:rsidRPr="00666F13" w:rsidRDefault="0099567B" w:rsidP="00B77E83">
      <w:pPr>
        <w:rPr>
          <w:bCs/>
          <w:sz w:val="8"/>
          <w:szCs w:val="8"/>
        </w:rPr>
      </w:pPr>
    </w:p>
    <w:p w14:paraId="5101FF10" w14:textId="77777777" w:rsidR="0099567B" w:rsidRPr="00B77E83" w:rsidRDefault="0099567B" w:rsidP="00B77E83">
      <w:pPr>
        <w:rPr>
          <w:bCs/>
        </w:rPr>
      </w:pPr>
      <w:r w:rsidRPr="00B77E83">
        <w:rPr>
          <w:bCs/>
        </w:rPr>
        <w:t>Footage obtained through the use of a BWC is classed as a state record and can only be destroyed in accordance with the State Records Act 2000.</w:t>
      </w:r>
    </w:p>
    <w:p w14:paraId="0979A65F" w14:textId="77777777" w:rsidR="00666F13" w:rsidRDefault="00666F13" w:rsidP="00B77E83">
      <w:pPr>
        <w:rPr>
          <w:b/>
          <w:bCs/>
        </w:rPr>
      </w:pPr>
      <w:r>
        <w:rPr>
          <w:b/>
          <w:bCs/>
        </w:rPr>
        <w:br w:type="page"/>
      </w:r>
    </w:p>
    <w:p w14:paraId="0781F67B" w14:textId="32E154A9" w:rsidR="0099567B" w:rsidRPr="00B77E83" w:rsidRDefault="0099567B" w:rsidP="00B77E83">
      <w:pPr>
        <w:rPr>
          <w:b/>
          <w:bCs/>
        </w:rPr>
      </w:pPr>
      <w:r w:rsidRPr="00B77E83">
        <w:rPr>
          <w:b/>
          <w:bCs/>
        </w:rPr>
        <w:lastRenderedPageBreak/>
        <w:t>Access, use and disclosure of recorded data</w:t>
      </w:r>
    </w:p>
    <w:p w14:paraId="1FD9907F" w14:textId="77777777" w:rsidR="0099567B" w:rsidRPr="00666F13" w:rsidRDefault="0099567B" w:rsidP="00B77E83">
      <w:pPr>
        <w:rPr>
          <w:bCs/>
          <w:sz w:val="8"/>
          <w:szCs w:val="8"/>
        </w:rPr>
      </w:pPr>
    </w:p>
    <w:p w14:paraId="78891A5F" w14:textId="65D8E8BB" w:rsidR="0099567B" w:rsidRPr="00B77E83" w:rsidRDefault="0099567B" w:rsidP="00B77E83">
      <w:pPr>
        <w:rPr>
          <w:bCs/>
        </w:rPr>
      </w:pPr>
      <w:r w:rsidRPr="00B77E83">
        <w:rPr>
          <w:bCs/>
        </w:rPr>
        <w:t xml:space="preserve">Access to the original recorded data for the purpose of reviewing and extracting recorded data will be restricted to the approved officer, Ranger Coordinator, Manager of Public Health and Safety, </w:t>
      </w:r>
      <w:r w:rsidR="008E032D">
        <w:rPr>
          <w:bCs/>
        </w:rPr>
        <w:t xml:space="preserve">or Designated </w:t>
      </w:r>
      <w:r w:rsidRPr="00B77E83">
        <w:rPr>
          <w:bCs/>
        </w:rPr>
        <w:t xml:space="preserve">Information Technology </w:t>
      </w:r>
      <w:r w:rsidR="008E032D">
        <w:rPr>
          <w:bCs/>
        </w:rPr>
        <w:t>M</w:t>
      </w:r>
      <w:r w:rsidRPr="00B77E83">
        <w:rPr>
          <w:bCs/>
        </w:rPr>
        <w:t>anager</w:t>
      </w:r>
      <w:r w:rsidR="008E032D">
        <w:rPr>
          <w:bCs/>
        </w:rPr>
        <w:t xml:space="preserve">, </w:t>
      </w:r>
      <w:r w:rsidRPr="00B77E83">
        <w:rPr>
          <w:bCs/>
        </w:rPr>
        <w:t xml:space="preserve">insofar as their technological responsibilities and as directed by the CEO. </w:t>
      </w:r>
    </w:p>
    <w:p w14:paraId="3EC59E3B" w14:textId="77777777" w:rsidR="0099567B" w:rsidRPr="00666F13" w:rsidRDefault="0099567B" w:rsidP="00B77E83">
      <w:pPr>
        <w:rPr>
          <w:bCs/>
          <w:sz w:val="8"/>
          <w:szCs w:val="8"/>
        </w:rPr>
      </w:pPr>
    </w:p>
    <w:p w14:paraId="3E5410AE" w14:textId="77777777" w:rsidR="0099567B" w:rsidRPr="00B77E83" w:rsidRDefault="0099567B" w:rsidP="00B77E83">
      <w:pPr>
        <w:rPr>
          <w:bCs/>
        </w:rPr>
      </w:pPr>
      <w:r w:rsidRPr="00B77E83">
        <w:rPr>
          <w:bCs/>
        </w:rPr>
        <w:t xml:space="preserve">Access to an extract of the recorded data for the purpose of viewing, </w:t>
      </w:r>
      <w:proofErr w:type="gramStart"/>
      <w:r w:rsidRPr="00B77E83">
        <w:rPr>
          <w:bCs/>
        </w:rPr>
        <w:t>copying</w:t>
      </w:r>
      <w:proofErr w:type="gramEnd"/>
      <w:r w:rsidRPr="00B77E83">
        <w:rPr>
          <w:bCs/>
        </w:rPr>
        <w:t xml:space="preserve"> or disclosing recorded data will be restricted to an approved officer, Ranger Coordinator, Manager of Public Health and Safety, and as directed by the CEO.</w:t>
      </w:r>
    </w:p>
    <w:p w14:paraId="3A10B57C" w14:textId="77777777" w:rsidR="0099567B" w:rsidRPr="00666F13" w:rsidRDefault="0099567B" w:rsidP="00B77E83">
      <w:pPr>
        <w:rPr>
          <w:bCs/>
          <w:sz w:val="8"/>
          <w:szCs w:val="8"/>
        </w:rPr>
      </w:pPr>
    </w:p>
    <w:p w14:paraId="2E0F1A75" w14:textId="4D65314A" w:rsidR="0099567B" w:rsidRPr="00B77E83" w:rsidRDefault="0099567B" w:rsidP="00B77E83">
      <w:pPr>
        <w:rPr>
          <w:bCs/>
        </w:rPr>
      </w:pPr>
      <w:r w:rsidRPr="00B77E83">
        <w:rPr>
          <w:bCs/>
        </w:rPr>
        <w:t xml:space="preserve">The </w:t>
      </w:r>
      <w:r w:rsidRPr="00AF4B0C">
        <w:rPr>
          <w:bCs/>
          <w:i/>
          <w:iCs/>
        </w:rPr>
        <w:t>S</w:t>
      </w:r>
      <w:r w:rsidR="007B08AA" w:rsidRPr="00AF4B0C">
        <w:rPr>
          <w:bCs/>
          <w:i/>
          <w:iCs/>
        </w:rPr>
        <w:t xml:space="preserve">urveillance </w:t>
      </w:r>
      <w:r w:rsidRPr="00AF4B0C">
        <w:rPr>
          <w:bCs/>
          <w:i/>
          <w:iCs/>
        </w:rPr>
        <w:t>D</w:t>
      </w:r>
      <w:r w:rsidR="007B08AA" w:rsidRPr="00AF4B0C">
        <w:rPr>
          <w:bCs/>
          <w:i/>
          <w:iCs/>
        </w:rPr>
        <w:t xml:space="preserve">evices </w:t>
      </w:r>
      <w:r w:rsidRPr="00AF4B0C">
        <w:rPr>
          <w:bCs/>
          <w:i/>
          <w:iCs/>
        </w:rPr>
        <w:t>A</w:t>
      </w:r>
      <w:r w:rsidR="007B08AA" w:rsidRPr="00AF4B0C">
        <w:rPr>
          <w:bCs/>
          <w:i/>
          <w:iCs/>
        </w:rPr>
        <w:t>ct 1998</w:t>
      </w:r>
      <w:r w:rsidR="007B08AA" w:rsidRPr="00B77E83">
        <w:rPr>
          <w:bCs/>
        </w:rPr>
        <w:t xml:space="preserve"> (SDA)</w:t>
      </w:r>
      <w:r w:rsidRPr="00B77E83">
        <w:rPr>
          <w:bCs/>
        </w:rPr>
        <w:t xml:space="preserve"> defines a private conversation as any conversation carried on in circumstances that may reasonably be taken to indicate that any of the parties to the conversation desires it to be listened to only by </w:t>
      </w:r>
      <w:r w:rsidR="00832E52" w:rsidRPr="00B77E83">
        <w:rPr>
          <w:bCs/>
        </w:rPr>
        <w:t>themselves but</w:t>
      </w:r>
      <w:r w:rsidRPr="00B77E83">
        <w:rPr>
          <w:bCs/>
        </w:rPr>
        <w:t xml:space="preserve"> does not include a conversation carried on in any circumstances in which the parties to the conversation ought reasonably to expect that the conversation may be overheard.</w:t>
      </w:r>
    </w:p>
    <w:p w14:paraId="1476CE20" w14:textId="77777777" w:rsidR="0099567B" w:rsidRPr="00666F13" w:rsidRDefault="0099567B" w:rsidP="00B77E83">
      <w:pPr>
        <w:rPr>
          <w:bCs/>
          <w:sz w:val="8"/>
          <w:szCs w:val="8"/>
        </w:rPr>
      </w:pPr>
    </w:p>
    <w:p w14:paraId="2CCE7060" w14:textId="77777777" w:rsidR="0099567B" w:rsidRPr="00B77E83" w:rsidRDefault="0099567B" w:rsidP="00B77E83">
      <w:pPr>
        <w:rPr>
          <w:bCs/>
        </w:rPr>
      </w:pPr>
      <w:r w:rsidRPr="00B77E83">
        <w:rPr>
          <w:bCs/>
        </w:rPr>
        <w:t xml:space="preserve">Private conversations may not be listened to by anyone other than those that were a party to it. To avoid recording any private conversation, approved officers must always verbally inform any person that they are being recorded, if there is a chance that the conversation could be considered private. </w:t>
      </w:r>
    </w:p>
    <w:p w14:paraId="06B9E90C" w14:textId="77777777" w:rsidR="00DE63E8" w:rsidRPr="00666F13" w:rsidRDefault="00DE63E8" w:rsidP="00B77E83">
      <w:pPr>
        <w:rPr>
          <w:sz w:val="8"/>
          <w:szCs w:val="8"/>
        </w:rPr>
      </w:pPr>
    </w:p>
    <w:p w14:paraId="252E207E" w14:textId="77777777" w:rsidR="00DE63E8" w:rsidRPr="00B77E83" w:rsidRDefault="00DE63E8" w:rsidP="00666F13">
      <w:pPr>
        <w:pStyle w:val="Heading1"/>
      </w:pPr>
      <w:bookmarkStart w:id="3" w:name="_Toc395782889"/>
      <w:r w:rsidRPr="00B77E83">
        <w:t>Legislative and Strategic Context</w:t>
      </w:r>
      <w:bookmarkEnd w:id="3"/>
      <w:r w:rsidRPr="00B77E83">
        <w:t xml:space="preserve"> </w:t>
      </w:r>
    </w:p>
    <w:p w14:paraId="75A13EE9" w14:textId="3E20B82D" w:rsidR="005D35E6" w:rsidRPr="00666F13" w:rsidRDefault="005D35E6" w:rsidP="00666F13">
      <w:pPr>
        <w:rPr>
          <w:rFonts w:cs="Arial"/>
          <w:bCs/>
        </w:rPr>
      </w:pPr>
      <w:r w:rsidRPr="00AF4B0C">
        <w:t xml:space="preserve">Because of its capacity to record </w:t>
      </w:r>
      <w:r w:rsidR="00832E52" w:rsidRPr="00832E52">
        <w:t>audio-visual</w:t>
      </w:r>
      <w:r w:rsidRPr="00AF4B0C">
        <w:t xml:space="preserve"> interactions in any setting, BWC use is regulated by the </w:t>
      </w:r>
      <w:r w:rsidRPr="00666F13">
        <w:rPr>
          <w:bCs/>
          <w:i/>
          <w:iCs/>
        </w:rPr>
        <w:t>Surveillance Devices Act 1998</w:t>
      </w:r>
      <w:r w:rsidRPr="00666F13">
        <w:rPr>
          <w:bCs/>
        </w:rPr>
        <w:t xml:space="preserve"> (SDA). </w:t>
      </w:r>
    </w:p>
    <w:p w14:paraId="68D4BF9B" w14:textId="77777777" w:rsidR="00666F13" w:rsidRPr="00666F13" w:rsidRDefault="00666F13" w:rsidP="00666F13">
      <w:pPr>
        <w:rPr>
          <w:rFonts w:cs="Arial"/>
          <w:sz w:val="8"/>
          <w:szCs w:val="8"/>
        </w:rPr>
      </w:pPr>
    </w:p>
    <w:p w14:paraId="4683C74A" w14:textId="77777777" w:rsidR="00666F13" w:rsidRDefault="005D35E6" w:rsidP="00666F13">
      <w:pPr>
        <w:rPr>
          <w:rFonts w:cs="Arial"/>
        </w:rPr>
      </w:pPr>
      <w:r w:rsidRPr="00AF4B0C">
        <w:rPr>
          <w:rFonts w:cs="Arial"/>
        </w:rPr>
        <w:t xml:space="preserve">This Act regulates the use of listening devises in respect of private conversations and optical surveillance devices in respect to private activities. </w:t>
      </w:r>
    </w:p>
    <w:p w14:paraId="236F3C44" w14:textId="77777777" w:rsidR="00666F13" w:rsidRPr="00666F13" w:rsidRDefault="00666F13" w:rsidP="00666F13">
      <w:pPr>
        <w:rPr>
          <w:rFonts w:cs="Arial"/>
          <w:sz w:val="8"/>
          <w:szCs w:val="8"/>
        </w:rPr>
      </w:pPr>
    </w:p>
    <w:p w14:paraId="41F2F818" w14:textId="48814CE1" w:rsidR="005D35E6" w:rsidRPr="00AF4B0C" w:rsidRDefault="005D35E6" w:rsidP="00666F13">
      <w:pPr>
        <w:rPr>
          <w:rFonts w:cs="Arial"/>
        </w:rPr>
      </w:pPr>
      <w:r w:rsidRPr="00AF4B0C">
        <w:rPr>
          <w:rFonts w:cs="Arial"/>
        </w:rPr>
        <w:t>Recorded data from BWC becomes stored data the release of which is regulated by:</w:t>
      </w:r>
    </w:p>
    <w:p w14:paraId="21248FE1" w14:textId="77777777" w:rsidR="005D35E6" w:rsidRPr="00666F13" w:rsidRDefault="005D35E6" w:rsidP="00666F13">
      <w:pPr>
        <w:pStyle w:val="ListParagraph"/>
        <w:numPr>
          <w:ilvl w:val="0"/>
          <w:numId w:val="49"/>
        </w:numPr>
        <w:rPr>
          <w:bCs/>
          <w:i/>
          <w:iCs/>
        </w:rPr>
      </w:pPr>
      <w:r w:rsidRPr="00666F13">
        <w:rPr>
          <w:bCs/>
          <w:i/>
          <w:iCs/>
        </w:rPr>
        <w:t>Surveillance Devices Act 1998</w:t>
      </w:r>
    </w:p>
    <w:p w14:paraId="12B07871" w14:textId="77777777" w:rsidR="005D35E6" w:rsidRPr="00666F13" w:rsidRDefault="005D35E6" w:rsidP="00666F13">
      <w:pPr>
        <w:pStyle w:val="ListParagraph"/>
        <w:numPr>
          <w:ilvl w:val="0"/>
          <w:numId w:val="49"/>
        </w:numPr>
        <w:rPr>
          <w:bCs/>
          <w:i/>
          <w:iCs/>
        </w:rPr>
      </w:pPr>
      <w:r w:rsidRPr="00666F13">
        <w:rPr>
          <w:bCs/>
          <w:i/>
          <w:iCs/>
        </w:rPr>
        <w:t>State Records Act 2000</w:t>
      </w:r>
    </w:p>
    <w:p w14:paraId="17094864" w14:textId="77777777" w:rsidR="005D35E6" w:rsidRPr="00666F13" w:rsidRDefault="005D35E6" w:rsidP="00666F13">
      <w:pPr>
        <w:pStyle w:val="ListParagraph"/>
        <w:numPr>
          <w:ilvl w:val="0"/>
          <w:numId w:val="49"/>
        </w:numPr>
        <w:rPr>
          <w:bCs/>
          <w:i/>
          <w:iCs/>
        </w:rPr>
      </w:pPr>
      <w:r w:rsidRPr="00666F13">
        <w:rPr>
          <w:bCs/>
          <w:i/>
          <w:iCs/>
        </w:rPr>
        <w:t>Freedom of Information Act 1992</w:t>
      </w:r>
    </w:p>
    <w:p w14:paraId="5A2AE6CA" w14:textId="77777777" w:rsidR="005D35E6" w:rsidRPr="00666F13" w:rsidRDefault="005D35E6" w:rsidP="00666F13">
      <w:pPr>
        <w:pStyle w:val="ListParagraph"/>
        <w:numPr>
          <w:ilvl w:val="0"/>
          <w:numId w:val="49"/>
        </w:numPr>
        <w:rPr>
          <w:bCs/>
          <w:i/>
          <w:iCs/>
        </w:rPr>
      </w:pPr>
      <w:r w:rsidRPr="00666F13">
        <w:rPr>
          <w:bCs/>
          <w:i/>
          <w:iCs/>
        </w:rPr>
        <w:t>Evidence Act 1906</w:t>
      </w:r>
    </w:p>
    <w:p w14:paraId="3AE4B1A5" w14:textId="77777777" w:rsidR="005D35E6" w:rsidRPr="00666F13" w:rsidRDefault="005D35E6" w:rsidP="00666F13">
      <w:pPr>
        <w:pStyle w:val="ListParagraph"/>
        <w:numPr>
          <w:ilvl w:val="0"/>
          <w:numId w:val="49"/>
        </w:numPr>
        <w:rPr>
          <w:bCs/>
          <w:i/>
          <w:iCs/>
        </w:rPr>
      </w:pPr>
      <w:r w:rsidRPr="00666F13">
        <w:rPr>
          <w:bCs/>
          <w:i/>
          <w:iCs/>
        </w:rPr>
        <w:t>Criminal Procedure Act 2004</w:t>
      </w:r>
    </w:p>
    <w:p w14:paraId="2C050B2E" w14:textId="5425B301" w:rsidR="0099567B" w:rsidRPr="00666F13" w:rsidRDefault="005D35E6" w:rsidP="00666F13">
      <w:pPr>
        <w:pStyle w:val="ListParagraph"/>
        <w:numPr>
          <w:ilvl w:val="0"/>
          <w:numId w:val="49"/>
        </w:numPr>
        <w:rPr>
          <w:bCs/>
          <w:i/>
          <w:iCs/>
        </w:rPr>
      </w:pPr>
      <w:r w:rsidRPr="00666F13">
        <w:rPr>
          <w:bCs/>
          <w:i/>
          <w:iCs/>
        </w:rPr>
        <w:t>Privacy Act 1988 (</w:t>
      </w:r>
      <w:proofErr w:type="spellStart"/>
      <w:r w:rsidRPr="00666F13">
        <w:rPr>
          <w:bCs/>
          <w:i/>
          <w:iCs/>
        </w:rPr>
        <w:t>Cmth</w:t>
      </w:r>
      <w:proofErr w:type="spellEnd"/>
      <w:r w:rsidRPr="00666F13">
        <w:rPr>
          <w:bCs/>
          <w:i/>
          <w:iCs/>
        </w:rPr>
        <w:t>)</w:t>
      </w:r>
    </w:p>
    <w:p w14:paraId="1C2DAC50" w14:textId="77777777" w:rsidR="00666F13" w:rsidRPr="00666F13" w:rsidRDefault="00666F13" w:rsidP="00666F13">
      <w:pPr>
        <w:rPr>
          <w:sz w:val="8"/>
          <w:szCs w:val="8"/>
        </w:rPr>
      </w:pPr>
    </w:p>
    <w:p w14:paraId="588AA1AD" w14:textId="356FC6E2" w:rsidR="0019771E" w:rsidRPr="00B77E83" w:rsidRDefault="0019771E" w:rsidP="00666F13">
      <w:r w:rsidRPr="00B77E83">
        <w:t xml:space="preserve">This policy aligns with the City of Albany Strategic Community Plan 2032 </w:t>
      </w:r>
      <w:r w:rsidR="005D35E6" w:rsidRPr="00B77E83">
        <w:t>objective 3.1 Improve Community Safety and managing risk by promoting workplace health and safety.</w:t>
      </w:r>
    </w:p>
    <w:p w14:paraId="59694C01" w14:textId="77777777" w:rsidR="00DE63E8" w:rsidRPr="00B77E83" w:rsidRDefault="00DE63E8" w:rsidP="00B77E83"/>
    <w:p w14:paraId="37959A41" w14:textId="77777777" w:rsidR="00DE63E8" w:rsidRPr="00B77E83" w:rsidRDefault="00DE63E8" w:rsidP="00666F13">
      <w:pPr>
        <w:pStyle w:val="Heading1"/>
      </w:pPr>
      <w:bookmarkStart w:id="4" w:name="_Toc126653903"/>
      <w:bookmarkStart w:id="5" w:name="_Toc395782890"/>
      <w:r w:rsidRPr="00B77E83">
        <w:t>Review Position and Date</w:t>
      </w:r>
      <w:bookmarkEnd w:id="4"/>
      <w:bookmarkEnd w:id="5"/>
    </w:p>
    <w:p w14:paraId="273DC359" w14:textId="6C2E1E32" w:rsidR="00DE63E8" w:rsidRPr="00B77E83" w:rsidRDefault="00DE63E8" w:rsidP="00666F13">
      <w:r w:rsidRPr="00B77E83">
        <w:t xml:space="preserve">This policy </w:t>
      </w:r>
      <w:r w:rsidR="008E032D">
        <w:t>position</w:t>
      </w:r>
      <w:r w:rsidRPr="00B77E83">
        <w:t xml:space="preserve"> is to be reviewed by the document owner </w:t>
      </w:r>
      <w:r w:rsidR="008E032D">
        <w:t xml:space="preserve">every three years. </w:t>
      </w:r>
    </w:p>
    <w:p w14:paraId="077BED06" w14:textId="77777777" w:rsidR="00DE63E8" w:rsidRPr="00B77E83" w:rsidRDefault="00DE63E8" w:rsidP="00B77E83"/>
    <w:p w14:paraId="3840C1CB" w14:textId="77777777" w:rsidR="00DE63E8" w:rsidRPr="00B77E83" w:rsidRDefault="00DE63E8" w:rsidP="00666F13">
      <w:pPr>
        <w:pStyle w:val="Heading1"/>
      </w:pPr>
      <w:bookmarkStart w:id="6" w:name="_Toc395782891"/>
      <w:r w:rsidRPr="00B77E83">
        <w:t>Associated Documents</w:t>
      </w:r>
      <w:bookmarkEnd w:id="6"/>
    </w:p>
    <w:p w14:paraId="27574E95" w14:textId="722FA09A" w:rsidR="00DE63E8" w:rsidRPr="00B77E83" w:rsidRDefault="008E032D" w:rsidP="00666F13">
      <w:pPr>
        <w:pStyle w:val="ParaNum"/>
        <w:numPr>
          <w:ilvl w:val="0"/>
          <w:numId w:val="0"/>
        </w:numPr>
        <w:ind w:left="709" w:hanging="709"/>
      </w:pPr>
      <w:r>
        <w:t>D</w:t>
      </w:r>
      <w:r w:rsidR="00DE63E8" w:rsidRPr="00B77E83">
        <w:t>ocuments that have a bearing on this policy and that may be useful reference material for users of this policy</w:t>
      </w:r>
      <w:r w:rsidR="006C0E77" w:rsidRPr="00B77E83">
        <w:t xml:space="preserve">, follow: </w:t>
      </w:r>
    </w:p>
    <w:p w14:paraId="5B6E68B1" w14:textId="77777777" w:rsidR="0099567B" w:rsidRPr="00666F13" w:rsidRDefault="0099567B" w:rsidP="00666F13">
      <w:pPr>
        <w:pStyle w:val="ListParagraph"/>
        <w:numPr>
          <w:ilvl w:val="0"/>
          <w:numId w:val="49"/>
        </w:numPr>
        <w:rPr>
          <w:bCs/>
        </w:rPr>
      </w:pPr>
      <w:r w:rsidRPr="00666F13">
        <w:rPr>
          <w:bCs/>
        </w:rPr>
        <w:t>Activation Framework</w:t>
      </w:r>
    </w:p>
    <w:p w14:paraId="35B341D7" w14:textId="50164787" w:rsidR="0099567B" w:rsidRPr="00666F13" w:rsidRDefault="0099567B" w:rsidP="00666F13">
      <w:pPr>
        <w:pStyle w:val="ListParagraph"/>
        <w:numPr>
          <w:ilvl w:val="0"/>
          <w:numId w:val="49"/>
        </w:numPr>
        <w:rPr>
          <w:bCs/>
        </w:rPr>
      </w:pPr>
      <w:r w:rsidRPr="00666F13">
        <w:rPr>
          <w:bCs/>
        </w:rPr>
        <w:t>Training through ELMO</w:t>
      </w:r>
    </w:p>
    <w:p w14:paraId="01C2D59F" w14:textId="689D52E2" w:rsidR="008E032D" w:rsidRPr="00666F13" w:rsidRDefault="008E032D" w:rsidP="00666F13">
      <w:pPr>
        <w:pStyle w:val="ListParagraph"/>
        <w:numPr>
          <w:ilvl w:val="0"/>
          <w:numId w:val="49"/>
        </w:numPr>
        <w:rPr>
          <w:bCs/>
        </w:rPr>
      </w:pPr>
      <w:hyperlink r:id="rId9" w:tgtFrame="blank" w:tooltip="View - Policies - Admin - Code of Conduct for Persons with Access to Recorded Material (Audio, CCTV, Camera Footage)" w:history="1">
        <w:r w:rsidRPr="00666F13">
          <w:rPr>
            <w:bCs/>
          </w:rPr>
          <w:t>Code of Conduct for Persons with Access to Recorded Material (Audio, CCTV, Camera Footage)</w:t>
        </w:r>
      </w:hyperlink>
    </w:p>
    <w:p w14:paraId="76819784" w14:textId="1A8F0DEA" w:rsidR="008E032D" w:rsidRPr="00666F13" w:rsidRDefault="008E032D" w:rsidP="00666F13">
      <w:pPr>
        <w:pStyle w:val="ListParagraph"/>
        <w:numPr>
          <w:ilvl w:val="0"/>
          <w:numId w:val="49"/>
        </w:numPr>
        <w:rPr>
          <w:bCs/>
        </w:rPr>
      </w:pPr>
      <w:hyperlink r:id="rId10" w:tgtFrame="blank" w:tooltip="View - Forms (Intranet Only) - Release Form for Recorded Material (CCTV, Surveillance Photographs, Audio)" w:history="1">
        <w:r w:rsidRPr="00666F13">
          <w:rPr>
            <w:bCs/>
          </w:rPr>
          <w:t>Release Form for Recorded Material (CCTV, Surveillance Photographs, Audio) (30/06/2022)</w:t>
        </w:r>
      </w:hyperlink>
    </w:p>
    <w:p w14:paraId="38F1B264" w14:textId="101C06D7" w:rsidR="00666F13" w:rsidRDefault="00666F13" w:rsidP="00B77E83">
      <w:r>
        <w:br w:type="page"/>
      </w:r>
    </w:p>
    <w:p w14:paraId="1E3F2460" w14:textId="77777777" w:rsidR="00DE63E8" w:rsidRPr="00B77E83" w:rsidRDefault="00DE63E8" w:rsidP="00B77E83"/>
    <w:p w14:paraId="2B5585A3" w14:textId="77777777" w:rsidR="00DE63E8" w:rsidRPr="00B77E83" w:rsidRDefault="00DE63E8" w:rsidP="00666F13">
      <w:pPr>
        <w:pStyle w:val="Heading1"/>
      </w:pPr>
      <w:bookmarkStart w:id="7" w:name="_Toc395782892"/>
      <w:r w:rsidRPr="00B77E83">
        <w:t>Definitions</w:t>
      </w:r>
      <w:bookmarkEnd w:id="7"/>
    </w:p>
    <w:p w14:paraId="0AF499DB" w14:textId="77777777" w:rsidR="00DE63E8" w:rsidRPr="00B77E83" w:rsidRDefault="006C0E77" w:rsidP="00666F13">
      <w:r w:rsidRPr="00B77E83">
        <w:t>K</w:t>
      </w:r>
      <w:r w:rsidR="00DE63E8" w:rsidRPr="00B77E83">
        <w:t>ey terms and acronyms used in th</w:t>
      </w:r>
      <w:r w:rsidRPr="00B77E83">
        <w:t xml:space="preserve">e policy, and their definitions: </w:t>
      </w:r>
    </w:p>
    <w:p w14:paraId="64BF1FA7" w14:textId="77777777" w:rsidR="0099567B" w:rsidRPr="00B77E83" w:rsidRDefault="0099567B" w:rsidP="00666F13">
      <w:pPr>
        <w:pStyle w:val="ListParagraph"/>
        <w:numPr>
          <w:ilvl w:val="0"/>
          <w:numId w:val="49"/>
        </w:numPr>
      </w:pPr>
      <w:r w:rsidRPr="00B77E83">
        <w:rPr>
          <w:b/>
        </w:rPr>
        <w:t xml:space="preserve">BWC </w:t>
      </w:r>
      <w:r w:rsidRPr="00B77E83">
        <w:t xml:space="preserve">means Body Worn Camera and is a device that is worn on the person capable of recording both audio and visual images simultaneously. </w:t>
      </w:r>
    </w:p>
    <w:p w14:paraId="132E333F" w14:textId="77777777" w:rsidR="0099567B" w:rsidRPr="00B77E83" w:rsidRDefault="0099567B" w:rsidP="00666F13">
      <w:pPr>
        <w:pStyle w:val="ListParagraph"/>
        <w:numPr>
          <w:ilvl w:val="0"/>
          <w:numId w:val="49"/>
        </w:numPr>
      </w:pPr>
      <w:r w:rsidRPr="00B77E83">
        <w:rPr>
          <w:b/>
        </w:rPr>
        <w:t xml:space="preserve">Record, </w:t>
      </w:r>
      <w:r w:rsidRPr="00B77E83">
        <w:t>in relation to a private conversation, includes a statement</w:t>
      </w:r>
      <w:r w:rsidR="007B08AA" w:rsidRPr="00B77E83">
        <w:t xml:space="preserve"> prepared from such a record and </w:t>
      </w:r>
      <w:r w:rsidR="007B08AA" w:rsidRPr="00B77E83">
        <w:rPr>
          <w:b/>
        </w:rPr>
        <w:t xml:space="preserve">to record </w:t>
      </w:r>
      <w:r w:rsidR="007B08AA" w:rsidRPr="00B77E83">
        <w:t xml:space="preserve">includes visual and sound recording. </w:t>
      </w:r>
      <w:r w:rsidR="007B08AA" w:rsidRPr="00B77E83">
        <w:rPr>
          <w:b/>
        </w:rPr>
        <w:t xml:space="preserve">Record </w:t>
      </w:r>
      <w:r w:rsidR="007B08AA" w:rsidRPr="00B77E83">
        <w:t xml:space="preserve">also includes, for the purpose of State Records Act 2000, anything from which images, sounds or writings can be reproduced with or without the aid of anything else; and </w:t>
      </w:r>
      <w:proofErr w:type="spellStart"/>
      <w:r w:rsidR="007B08AA" w:rsidRPr="00B77E83">
        <w:t>any thing</w:t>
      </w:r>
      <w:proofErr w:type="spellEnd"/>
      <w:r w:rsidR="007B08AA" w:rsidRPr="00B77E83">
        <w:t xml:space="preserve"> on which information has been sorted or recorded, wither mechanically, magnetically, or electronically.</w:t>
      </w:r>
    </w:p>
    <w:p w14:paraId="6E70A8BD" w14:textId="77777777" w:rsidR="007B08AA" w:rsidRPr="00B77E83" w:rsidRDefault="007B08AA" w:rsidP="00666F13">
      <w:pPr>
        <w:pStyle w:val="ListParagraph"/>
        <w:numPr>
          <w:ilvl w:val="0"/>
          <w:numId w:val="49"/>
        </w:numPr>
      </w:pPr>
      <w:r w:rsidRPr="00B77E83">
        <w:rPr>
          <w:b/>
        </w:rPr>
        <w:t>private conversation</w:t>
      </w:r>
      <w:r w:rsidRPr="00B77E83">
        <w:t xml:space="preserve"> means any conversation carried on in circumstances that may reasonably be taken to indicate that any of the parties to the conversation desires it to be listened to only by themselves, but does not include a conversation carried on in any circumstances in which the parties to the conversation ought reasonably to expect that the conversation may be overheard</w:t>
      </w:r>
    </w:p>
    <w:p w14:paraId="730644FB" w14:textId="77777777" w:rsidR="007B08AA" w:rsidRPr="00B77E83" w:rsidRDefault="007B08AA" w:rsidP="00666F13">
      <w:pPr>
        <w:pStyle w:val="ListParagraph"/>
        <w:numPr>
          <w:ilvl w:val="0"/>
          <w:numId w:val="49"/>
        </w:numPr>
      </w:pPr>
      <w:r w:rsidRPr="00B77E83">
        <w:rPr>
          <w:b/>
        </w:rPr>
        <w:t>private activity</w:t>
      </w:r>
      <w:r w:rsidRPr="00B77E83">
        <w:t xml:space="preserve"> means any activity carried on in circumstances that may reasonably be taken to indicate that any of the parties to the activity desires it to be observed only by themselves, but does not include an activity carried on in any circumstances in which the parties to the activity ought reasonably to expect that the activity may be observed</w:t>
      </w:r>
    </w:p>
    <w:p w14:paraId="529147CB" w14:textId="77777777" w:rsidR="00C14BD0" w:rsidRPr="00B77E83" w:rsidRDefault="00C14BD0" w:rsidP="00666F13">
      <w:pPr>
        <w:pStyle w:val="ListParagraph"/>
        <w:numPr>
          <w:ilvl w:val="0"/>
          <w:numId w:val="49"/>
        </w:numPr>
      </w:pPr>
      <w:r w:rsidRPr="00B77E83">
        <w:rPr>
          <w:b/>
        </w:rPr>
        <w:t>Authorised Audio &amp; Visual Operations</w:t>
      </w:r>
      <w:r w:rsidRPr="00B77E83">
        <w:t>, allows for the viewing and use of recorded material, with the condition that material is not to be used to ‘Performance Manage’ staff unless directed and authorised by the Manager People &amp; Culture (Code of Conduct for Recorded Material acquired on city of Albany Property).</w:t>
      </w:r>
    </w:p>
    <w:p w14:paraId="2A7C2544" w14:textId="77777777" w:rsidR="00DE63E8" w:rsidRPr="00B77E83" w:rsidRDefault="00DE63E8" w:rsidP="00B77E83"/>
    <w:p w14:paraId="77AE7878" w14:textId="77777777" w:rsidR="00DE63E8" w:rsidRPr="00B77E83" w:rsidRDefault="00DE63E8" w:rsidP="00B77E83"/>
    <w:p w14:paraId="7B507A78" w14:textId="77777777" w:rsidR="00424885" w:rsidRPr="00B77E83" w:rsidRDefault="00424885" w:rsidP="00B77E83">
      <w:r w:rsidRPr="00B77E83">
        <w:br w:type="page"/>
      </w:r>
    </w:p>
    <w:p w14:paraId="59773691" w14:textId="77777777" w:rsidR="00DE63E8" w:rsidRPr="00B77E83" w:rsidRDefault="00DE63E8" w:rsidP="00B77E8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
        <w:gridCol w:w="1553"/>
        <w:gridCol w:w="2321"/>
        <w:gridCol w:w="2686"/>
        <w:gridCol w:w="1727"/>
      </w:tblGrid>
      <w:tr w:rsidR="00DE608B" w:rsidRPr="00666F13" w14:paraId="26E2E3D0" w14:textId="77777777" w:rsidTr="00666F13">
        <w:trPr>
          <w:trHeight w:val="405"/>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7544F2" w14:textId="77777777" w:rsidR="00DE608B" w:rsidRPr="00666F13" w:rsidRDefault="00DE608B" w:rsidP="00666F13">
            <w:pPr>
              <w:spacing w:line="240" w:lineRule="auto"/>
              <w:contextualSpacing/>
              <w:rPr>
                <w:b/>
                <w:color w:val="0070C0"/>
              </w:rPr>
            </w:pPr>
            <w:r w:rsidRPr="00666F13">
              <w:rPr>
                <w:b/>
                <w:color w:val="0070C0"/>
              </w:rPr>
              <w:t>Document Approval</w:t>
            </w:r>
          </w:p>
        </w:tc>
      </w:tr>
      <w:tr w:rsidR="00DE608B" w:rsidRPr="00666F13" w14:paraId="55649D3C" w14:textId="77777777" w:rsidTr="00666F13">
        <w:trPr>
          <w:trHeight w:val="447"/>
        </w:trPr>
        <w:tc>
          <w:tcPr>
            <w:tcW w:w="493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4A6B9E" w14:textId="77777777" w:rsidR="00DE608B" w:rsidRPr="00666F13" w:rsidRDefault="00DE608B" w:rsidP="00666F13">
            <w:pPr>
              <w:spacing w:line="240" w:lineRule="auto"/>
              <w:contextualSpacing/>
              <w:rPr>
                <w:b/>
              </w:rPr>
            </w:pPr>
            <w:r w:rsidRPr="00666F13">
              <w:rPr>
                <w:b/>
              </w:rPr>
              <w:t xml:space="preserve">Document Development Officer: </w:t>
            </w:r>
          </w:p>
        </w:tc>
        <w:tc>
          <w:tcPr>
            <w:tcW w:w="44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0F6A0F" w14:textId="77777777" w:rsidR="00DE608B" w:rsidRPr="00666F13" w:rsidRDefault="00DE608B" w:rsidP="00666F13">
            <w:pPr>
              <w:spacing w:line="240" w:lineRule="auto"/>
              <w:contextualSpacing/>
              <w:rPr>
                <w:b/>
              </w:rPr>
            </w:pPr>
            <w:r w:rsidRPr="00666F13">
              <w:rPr>
                <w:b/>
              </w:rPr>
              <w:t xml:space="preserve">Document Owner: </w:t>
            </w:r>
            <w:r w:rsidRPr="00666F13">
              <w:rPr>
                <w:b/>
                <w:i/>
              </w:rPr>
              <w:t>(Member of EMT)</w:t>
            </w:r>
          </w:p>
        </w:tc>
      </w:tr>
      <w:tr w:rsidR="00DE608B" w:rsidRPr="00666F13" w14:paraId="66343951" w14:textId="77777777" w:rsidTr="00666F13">
        <w:trPr>
          <w:trHeight w:val="425"/>
        </w:trPr>
        <w:tc>
          <w:tcPr>
            <w:tcW w:w="49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F0F432" w14:textId="7763282D" w:rsidR="00DE608B" w:rsidRPr="00666F13" w:rsidRDefault="008E032D" w:rsidP="00666F13">
            <w:pPr>
              <w:pStyle w:val="pf0"/>
              <w:contextualSpacing/>
              <w:rPr>
                <w:rFonts w:ascii="Arial Narrow" w:hAnsi="Arial Narrow"/>
                <w:sz w:val="22"/>
                <w:szCs w:val="22"/>
              </w:rPr>
            </w:pPr>
            <w:r w:rsidRPr="00666F13">
              <w:rPr>
                <w:rStyle w:val="cf01"/>
                <w:rFonts w:ascii="Arial Narrow" w:hAnsi="Arial Narrow"/>
                <w:sz w:val="22"/>
                <w:szCs w:val="22"/>
              </w:rPr>
              <w:t>Manager Public Health and Safety • Health | Ranger Coordinator</w:t>
            </w:r>
          </w:p>
        </w:tc>
        <w:tc>
          <w:tcPr>
            <w:tcW w:w="4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4DD22" w14:textId="2BA91FDA" w:rsidR="00DE608B" w:rsidRPr="00666F13" w:rsidRDefault="008E032D" w:rsidP="00666F13">
            <w:pPr>
              <w:spacing w:line="240" w:lineRule="auto"/>
              <w:contextualSpacing/>
            </w:pPr>
            <w:r w:rsidRPr="00666F13">
              <w:rPr>
                <w:rStyle w:val="cf01"/>
                <w:rFonts w:ascii="Arial Narrow" w:hAnsi="Arial Narrow"/>
                <w:sz w:val="22"/>
                <w:szCs w:val="22"/>
              </w:rPr>
              <w:t>Executive Director Corporate and Commercial Services • Corporate Services</w:t>
            </w:r>
          </w:p>
        </w:tc>
      </w:tr>
      <w:tr w:rsidR="00DE608B" w:rsidRPr="00666F13" w14:paraId="7E38DC14" w14:textId="77777777" w:rsidTr="00666F13">
        <w:trPr>
          <w:trHeight w:val="525"/>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87BBB4" w14:textId="77777777" w:rsidR="00DE608B" w:rsidRPr="00666F13" w:rsidRDefault="00DE608B" w:rsidP="00666F13">
            <w:pPr>
              <w:spacing w:line="240" w:lineRule="auto"/>
              <w:contextualSpacing/>
              <w:rPr>
                <w:b/>
                <w:color w:val="0070C0"/>
              </w:rPr>
            </w:pPr>
            <w:r w:rsidRPr="00666F13">
              <w:rPr>
                <w:b/>
                <w:color w:val="0070C0"/>
              </w:rPr>
              <w:t>Document Control</w:t>
            </w:r>
          </w:p>
        </w:tc>
      </w:tr>
      <w:tr w:rsidR="00DE608B" w:rsidRPr="00666F13" w14:paraId="71831493" w14:textId="77777777" w:rsidTr="00666F13">
        <w:trPr>
          <w:trHeight w:val="689"/>
        </w:trPr>
        <w:tc>
          <w:tcPr>
            <w:tcW w:w="26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5FD67C" w14:textId="79FCAC76" w:rsidR="00DE608B" w:rsidRPr="00666F13" w:rsidRDefault="00DE608B" w:rsidP="00666F13">
            <w:pPr>
              <w:spacing w:line="240" w:lineRule="auto"/>
              <w:contextualSpacing/>
              <w:jc w:val="left"/>
              <w:rPr>
                <w:b/>
              </w:rPr>
            </w:pPr>
            <w:r w:rsidRPr="00666F13">
              <w:rPr>
                <w:b/>
              </w:rPr>
              <w:t>File Number - Document Type:</w:t>
            </w:r>
          </w:p>
        </w:tc>
        <w:tc>
          <w:tcPr>
            <w:tcW w:w="67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B4508E" w14:textId="77777777" w:rsidR="00C00EF5" w:rsidRPr="00666F13" w:rsidRDefault="00DE608B" w:rsidP="00666F13">
            <w:pPr>
              <w:spacing w:line="240" w:lineRule="auto"/>
              <w:contextualSpacing/>
            </w:pPr>
            <w:r w:rsidRPr="00666F13">
              <w:t>CM.STD.</w:t>
            </w:r>
            <w:r w:rsidR="00C00EF5" w:rsidRPr="00666F13">
              <w:t>7</w:t>
            </w:r>
            <w:r w:rsidRPr="00666F13">
              <w:t xml:space="preserve"> – </w:t>
            </w:r>
            <w:r w:rsidR="00C00EF5" w:rsidRPr="00666F13">
              <w:t>Policy</w:t>
            </w:r>
          </w:p>
        </w:tc>
      </w:tr>
      <w:tr w:rsidR="00DE608B" w:rsidRPr="00666F13" w14:paraId="6F6F9C88" w14:textId="77777777" w:rsidTr="00666F13">
        <w:trPr>
          <w:trHeight w:val="689"/>
        </w:trPr>
        <w:tc>
          <w:tcPr>
            <w:tcW w:w="26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B9460F" w14:textId="77777777" w:rsidR="00DE608B" w:rsidRPr="00666F13" w:rsidRDefault="00DE608B" w:rsidP="00666F13">
            <w:pPr>
              <w:spacing w:line="240" w:lineRule="auto"/>
              <w:contextualSpacing/>
              <w:jc w:val="left"/>
              <w:rPr>
                <w:b/>
              </w:rPr>
            </w:pPr>
            <w:r w:rsidRPr="00666F13">
              <w:rPr>
                <w:b/>
              </w:rPr>
              <w:t>Synergy Reference Number:</w:t>
            </w:r>
          </w:p>
        </w:tc>
        <w:tc>
          <w:tcPr>
            <w:tcW w:w="67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C1949F" w14:textId="013B79D4" w:rsidR="00DE608B" w:rsidRPr="00666F13" w:rsidRDefault="00DE608B" w:rsidP="00666F13">
            <w:pPr>
              <w:spacing w:line="240" w:lineRule="auto"/>
              <w:contextualSpacing/>
              <w:rPr>
                <w:color w:val="0070C0"/>
              </w:rPr>
            </w:pPr>
          </w:p>
        </w:tc>
      </w:tr>
      <w:tr w:rsidR="00DE608B" w:rsidRPr="00666F13" w14:paraId="258D7BC0" w14:textId="77777777" w:rsidTr="00666F13">
        <w:trPr>
          <w:trHeight w:val="689"/>
        </w:trPr>
        <w:tc>
          <w:tcPr>
            <w:tcW w:w="26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D50884" w14:textId="77777777" w:rsidR="00DE608B" w:rsidRPr="00666F13" w:rsidRDefault="00DE608B" w:rsidP="00666F13">
            <w:pPr>
              <w:spacing w:line="240" w:lineRule="auto"/>
              <w:contextualSpacing/>
              <w:jc w:val="left"/>
              <w:rPr>
                <w:b/>
              </w:rPr>
            </w:pPr>
            <w:r w:rsidRPr="00666F13">
              <w:rPr>
                <w:b/>
              </w:rPr>
              <w:t>Status of Document:</w:t>
            </w:r>
          </w:p>
        </w:tc>
        <w:tc>
          <w:tcPr>
            <w:tcW w:w="67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B27AA" w14:textId="3779D35F" w:rsidR="00DE608B" w:rsidRPr="00666F13" w:rsidRDefault="00697927" w:rsidP="00666F13">
            <w:pPr>
              <w:spacing w:line="240" w:lineRule="auto"/>
              <w:contextualSpacing/>
            </w:pPr>
            <w:r w:rsidRPr="00666F13">
              <w:rPr>
                <w:b/>
              </w:rPr>
              <w:t xml:space="preserve">Administrative decision: </w:t>
            </w:r>
            <w:r w:rsidR="00666F13">
              <w:t xml:space="preserve">Approved. </w:t>
            </w:r>
            <w:r w:rsidR="00E55422" w:rsidRPr="00666F13">
              <w:t xml:space="preserve"> </w:t>
            </w:r>
          </w:p>
        </w:tc>
      </w:tr>
      <w:tr w:rsidR="00DE608B" w:rsidRPr="00666F13" w14:paraId="239F54E3" w14:textId="77777777" w:rsidTr="00666F13">
        <w:trPr>
          <w:trHeight w:val="689"/>
        </w:trPr>
        <w:tc>
          <w:tcPr>
            <w:tcW w:w="26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D14A2B" w14:textId="77777777" w:rsidR="00DE608B" w:rsidRPr="00666F13" w:rsidRDefault="00DE608B" w:rsidP="00666F13">
            <w:pPr>
              <w:spacing w:line="240" w:lineRule="auto"/>
              <w:contextualSpacing/>
              <w:jc w:val="left"/>
              <w:rPr>
                <w:b/>
              </w:rPr>
            </w:pPr>
            <w:r w:rsidRPr="00666F13">
              <w:rPr>
                <w:b/>
              </w:rPr>
              <w:t>Quality Assurance:</w:t>
            </w:r>
          </w:p>
        </w:tc>
        <w:tc>
          <w:tcPr>
            <w:tcW w:w="67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173028" w14:textId="75C2DCD3" w:rsidR="00DE608B" w:rsidRPr="00666F13" w:rsidRDefault="008E032D" w:rsidP="00666F13">
            <w:pPr>
              <w:spacing w:line="240" w:lineRule="auto"/>
              <w:contextualSpacing/>
              <w:rPr>
                <w:iCs/>
                <w:color w:val="0070C0"/>
              </w:rPr>
            </w:pPr>
            <w:r w:rsidRPr="00666F13">
              <w:rPr>
                <w:iCs/>
              </w:rPr>
              <w:t>Public Health &amp; Safety, Governance &amp; Risk, Information Technology T</w:t>
            </w:r>
            <w:r w:rsidR="00887E5E" w:rsidRPr="00666F13">
              <w:rPr>
                <w:iCs/>
              </w:rPr>
              <w:t>e</w:t>
            </w:r>
            <w:r w:rsidRPr="00666F13">
              <w:rPr>
                <w:iCs/>
              </w:rPr>
              <w:t>am</w:t>
            </w:r>
            <w:r w:rsidR="00887E5E" w:rsidRPr="00666F13">
              <w:rPr>
                <w:iCs/>
              </w:rPr>
              <w:t>’</w:t>
            </w:r>
            <w:r w:rsidRPr="00666F13">
              <w:rPr>
                <w:iCs/>
              </w:rPr>
              <w:t xml:space="preserve">s </w:t>
            </w:r>
          </w:p>
        </w:tc>
      </w:tr>
      <w:tr w:rsidR="00DE608B" w:rsidRPr="00666F13" w14:paraId="39E92F51" w14:textId="77777777" w:rsidTr="00666F13">
        <w:trPr>
          <w:trHeight w:val="689"/>
        </w:trPr>
        <w:tc>
          <w:tcPr>
            <w:tcW w:w="26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884096" w14:textId="77777777" w:rsidR="00DE608B" w:rsidRPr="00666F13" w:rsidRDefault="00DE608B" w:rsidP="00666F13">
            <w:pPr>
              <w:spacing w:line="240" w:lineRule="auto"/>
              <w:contextualSpacing/>
              <w:jc w:val="left"/>
              <w:rPr>
                <w:b/>
              </w:rPr>
            </w:pPr>
            <w:r w:rsidRPr="00666F13">
              <w:rPr>
                <w:b/>
              </w:rPr>
              <w:t>Distribution:</w:t>
            </w:r>
          </w:p>
        </w:tc>
        <w:tc>
          <w:tcPr>
            <w:tcW w:w="67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229635" w14:textId="4F9E8B27" w:rsidR="00DE608B" w:rsidRPr="00666F13" w:rsidRDefault="00DE608B" w:rsidP="00666F13">
            <w:pPr>
              <w:spacing w:line="240" w:lineRule="auto"/>
              <w:contextualSpacing/>
            </w:pPr>
            <w:r w:rsidRPr="00666F13">
              <w:t>Public Document</w:t>
            </w:r>
          </w:p>
        </w:tc>
      </w:tr>
      <w:tr w:rsidR="00DE608B" w:rsidRPr="00666F13" w14:paraId="5B3F5E54" w14:textId="77777777" w:rsidTr="00666F13">
        <w:trPr>
          <w:trHeight w:val="347"/>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91BE1" w14:textId="77777777" w:rsidR="00DE608B" w:rsidRPr="00666F13" w:rsidRDefault="00DE608B" w:rsidP="00666F13">
            <w:pPr>
              <w:spacing w:line="240" w:lineRule="auto"/>
              <w:contextualSpacing/>
              <w:rPr>
                <w:b/>
                <w:color w:val="0070C0"/>
              </w:rPr>
            </w:pPr>
            <w:r w:rsidRPr="00666F13">
              <w:rPr>
                <w:b/>
                <w:color w:val="0070C0"/>
              </w:rPr>
              <w:t>Document Revision History</w:t>
            </w:r>
          </w:p>
        </w:tc>
      </w:tr>
      <w:tr w:rsidR="00DE608B" w:rsidRPr="00666F13" w14:paraId="43F13211" w14:textId="77777777" w:rsidTr="00666F13">
        <w:tc>
          <w:tcPr>
            <w:tcW w:w="1064" w:type="dxa"/>
            <w:tcBorders>
              <w:top w:val="single" w:sz="4" w:space="0" w:color="000000"/>
              <w:left w:val="single" w:sz="4" w:space="0" w:color="000000"/>
              <w:bottom w:val="single" w:sz="4" w:space="0" w:color="000000"/>
              <w:right w:val="single" w:sz="4" w:space="0" w:color="000000"/>
            </w:tcBorders>
            <w:shd w:val="clear" w:color="auto" w:fill="D9D9D9"/>
            <w:hideMark/>
          </w:tcPr>
          <w:p w14:paraId="2912A352" w14:textId="77777777" w:rsidR="00DE608B" w:rsidRPr="00666F13" w:rsidRDefault="00DE608B" w:rsidP="00666F13">
            <w:pPr>
              <w:spacing w:line="240" w:lineRule="auto"/>
              <w:contextualSpacing/>
              <w:rPr>
                <w:b/>
              </w:rPr>
            </w:pPr>
            <w:r w:rsidRPr="00666F13">
              <w:rPr>
                <w:b/>
              </w:rPr>
              <w:t>Version</w:t>
            </w:r>
          </w:p>
        </w:tc>
        <w:tc>
          <w:tcPr>
            <w:tcW w:w="1553" w:type="dxa"/>
            <w:tcBorders>
              <w:top w:val="single" w:sz="4" w:space="0" w:color="000000"/>
              <w:left w:val="single" w:sz="4" w:space="0" w:color="000000"/>
              <w:bottom w:val="single" w:sz="4" w:space="0" w:color="000000"/>
              <w:right w:val="single" w:sz="4" w:space="0" w:color="000000"/>
            </w:tcBorders>
            <w:shd w:val="clear" w:color="auto" w:fill="D9D9D9"/>
            <w:hideMark/>
          </w:tcPr>
          <w:p w14:paraId="4B103C5B" w14:textId="77777777" w:rsidR="00DE608B" w:rsidRPr="00666F13" w:rsidRDefault="00DE608B" w:rsidP="00666F13">
            <w:pPr>
              <w:spacing w:line="240" w:lineRule="auto"/>
              <w:contextualSpacing/>
              <w:rPr>
                <w:b/>
              </w:rPr>
            </w:pPr>
            <w:r w:rsidRPr="00666F13">
              <w:rPr>
                <w:b/>
              </w:rPr>
              <w:t>Author</w:t>
            </w:r>
          </w:p>
        </w:tc>
        <w:tc>
          <w:tcPr>
            <w:tcW w:w="500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8E85868" w14:textId="77777777" w:rsidR="00DE608B" w:rsidRPr="00666F13" w:rsidRDefault="00DE608B" w:rsidP="00666F13">
            <w:pPr>
              <w:spacing w:line="240" w:lineRule="auto"/>
              <w:contextualSpacing/>
              <w:rPr>
                <w:b/>
              </w:rPr>
            </w:pPr>
            <w:r w:rsidRPr="00666F13">
              <w:rPr>
                <w:b/>
              </w:rPr>
              <w:t>Version Description</w:t>
            </w:r>
          </w:p>
        </w:tc>
        <w:tc>
          <w:tcPr>
            <w:tcW w:w="1727" w:type="dxa"/>
            <w:tcBorders>
              <w:top w:val="single" w:sz="4" w:space="0" w:color="000000"/>
              <w:left w:val="single" w:sz="4" w:space="0" w:color="000000"/>
              <w:bottom w:val="single" w:sz="4" w:space="0" w:color="000000"/>
              <w:right w:val="single" w:sz="4" w:space="0" w:color="000000"/>
            </w:tcBorders>
            <w:shd w:val="clear" w:color="auto" w:fill="D9D9D9"/>
            <w:hideMark/>
          </w:tcPr>
          <w:p w14:paraId="14947676" w14:textId="77777777" w:rsidR="00DE608B" w:rsidRPr="00666F13" w:rsidRDefault="00DE608B" w:rsidP="00666F13">
            <w:pPr>
              <w:spacing w:line="240" w:lineRule="auto"/>
              <w:contextualSpacing/>
              <w:rPr>
                <w:b/>
              </w:rPr>
            </w:pPr>
            <w:r w:rsidRPr="00666F13">
              <w:rPr>
                <w:b/>
              </w:rPr>
              <w:t>Date</w:t>
            </w:r>
          </w:p>
          <w:p w14:paraId="1E9136D4" w14:textId="77777777" w:rsidR="00DE608B" w:rsidRPr="00666F13" w:rsidRDefault="00DE608B" w:rsidP="00666F13">
            <w:pPr>
              <w:spacing w:line="240" w:lineRule="auto"/>
              <w:contextualSpacing/>
              <w:rPr>
                <w:b/>
              </w:rPr>
            </w:pPr>
            <w:r w:rsidRPr="00666F13">
              <w:rPr>
                <w:b/>
              </w:rPr>
              <w:t>Completed</w:t>
            </w:r>
          </w:p>
        </w:tc>
      </w:tr>
      <w:tr w:rsidR="00A42584" w:rsidRPr="00666F13" w14:paraId="2AB67D3A" w14:textId="77777777" w:rsidTr="00666F13">
        <w:trPr>
          <w:trHeight w:val="639"/>
        </w:trPr>
        <w:tc>
          <w:tcPr>
            <w:tcW w:w="1064" w:type="dxa"/>
            <w:tcBorders>
              <w:top w:val="single" w:sz="4" w:space="0" w:color="000000"/>
              <w:left w:val="single" w:sz="4" w:space="0" w:color="000000"/>
              <w:bottom w:val="single" w:sz="4" w:space="0" w:color="000000"/>
              <w:right w:val="single" w:sz="4" w:space="0" w:color="000000"/>
            </w:tcBorders>
            <w:vAlign w:val="center"/>
            <w:hideMark/>
          </w:tcPr>
          <w:p w14:paraId="171A81DB" w14:textId="77777777" w:rsidR="00A42584" w:rsidRPr="00666F13" w:rsidRDefault="00A42584" w:rsidP="00666F13">
            <w:pPr>
              <w:spacing w:line="240" w:lineRule="auto"/>
              <w:contextualSpacing/>
              <w:jc w:val="center"/>
            </w:pPr>
            <w:r w:rsidRPr="00666F13">
              <w:t>0.1</w:t>
            </w:r>
          </w:p>
        </w:tc>
        <w:tc>
          <w:tcPr>
            <w:tcW w:w="1553" w:type="dxa"/>
            <w:tcBorders>
              <w:top w:val="single" w:sz="4" w:space="0" w:color="000000"/>
              <w:left w:val="single" w:sz="4" w:space="0" w:color="000000"/>
              <w:bottom w:val="single" w:sz="4" w:space="0" w:color="000000"/>
              <w:right w:val="single" w:sz="4" w:space="0" w:color="000000"/>
            </w:tcBorders>
            <w:vAlign w:val="center"/>
          </w:tcPr>
          <w:p w14:paraId="6EF47391" w14:textId="104D44CB" w:rsidR="00A42584" w:rsidRPr="00666F13" w:rsidRDefault="00887E5E" w:rsidP="00666F13">
            <w:pPr>
              <w:spacing w:line="240" w:lineRule="auto"/>
              <w:contextualSpacing/>
            </w:pPr>
            <w:r w:rsidRPr="00666F13">
              <w:t>Ranger Coordinator</w:t>
            </w:r>
          </w:p>
        </w:tc>
        <w:tc>
          <w:tcPr>
            <w:tcW w:w="5007" w:type="dxa"/>
            <w:gridSpan w:val="2"/>
            <w:tcBorders>
              <w:top w:val="single" w:sz="4" w:space="0" w:color="000000"/>
              <w:left w:val="single" w:sz="4" w:space="0" w:color="000000"/>
              <w:bottom w:val="single" w:sz="4" w:space="0" w:color="000000"/>
              <w:right w:val="single" w:sz="4" w:space="0" w:color="000000"/>
            </w:tcBorders>
            <w:vAlign w:val="center"/>
            <w:hideMark/>
          </w:tcPr>
          <w:p w14:paraId="330266AE" w14:textId="7F54C941" w:rsidR="00A42584" w:rsidRPr="00666F13" w:rsidRDefault="00887E5E" w:rsidP="00666F13">
            <w:pPr>
              <w:spacing w:line="240" w:lineRule="auto"/>
              <w:contextualSpacing/>
            </w:pPr>
            <w:r w:rsidRPr="00666F13">
              <w:t>Draft Version 1 – Prepared for internal review</w:t>
            </w: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7E29F55A" w14:textId="72B9B494" w:rsidR="00A42584" w:rsidRPr="00666F13" w:rsidRDefault="00887E5E" w:rsidP="00666F13">
            <w:pPr>
              <w:spacing w:line="240" w:lineRule="auto"/>
              <w:contextualSpacing/>
              <w:jc w:val="center"/>
            </w:pPr>
            <w:r w:rsidRPr="00666F13">
              <w:t>18/05/2022</w:t>
            </w:r>
          </w:p>
        </w:tc>
      </w:tr>
      <w:tr w:rsidR="00A42584" w:rsidRPr="00666F13" w14:paraId="4761C725" w14:textId="77777777" w:rsidTr="00666F13">
        <w:trPr>
          <w:trHeight w:val="1228"/>
        </w:trPr>
        <w:tc>
          <w:tcPr>
            <w:tcW w:w="1064" w:type="dxa"/>
            <w:tcBorders>
              <w:top w:val="single" w:sz="4" w:space="0" w:color="000000"/>
              <w:left w:val="single" w:sz="4" w:space="0" w:color="000000"/>
              <w:bottom w:val="single" w:sz="4" w:space="0" w:color="000000"/>
              <w:right w:val="single" w:sz="4" w:space="0" w:color="000000"/>
            </w:tcBorders>
            <w:vAlign w:val="center"/>
            <w:hideMark/>
          </w:tcPr>
          <w:p w14:paraId="35EED38B" w14:textId="5951763E" w:rsidR="00A42584" w:rsidRPr="00666F13" w:rsidRDefault="00887E5E" w:rsidP="00666F13">
            <w:pPr>
              <w:spacing w:line="240" w:lineRule="auto"/>
              <w:contextualSpacing/>
              <w:jc w:val="center"/>
            </w:pPr>
            <w:r w:rsidRPr="00666F13">
              <w:t>0.2</w:t>
            </w:r>
          </w:p>
        </w:tc>
        <w:tc>
          <w:tcPr>
            <w:tcW w:w="1553" w:type="dxa"/>
            <w:tcBorders>
              <w:top w:val="single" w:sz="4" w:space="0" w:color="000000"/>
              <w:left w:val="single" w:sz="4" w:space="0" w:color="000000"/>
              <w:bottom w:val="single" w:sz="4" w:space="0" w:color="000000"/>
              <w:right w:val="single" w:sz="4" w:space="0" w:color="000000"/>
            </w:tcBorders>
            <w:vAlign w:val="center"/>
          </w:tcPr>
          <w:p w14:paraId="26363B30" w14:textId="0DEA14EC" w:rsidR="00A42584" w:rsidRPr="00666F13" w:rsidRDefault="00887E5E" w:rsidP="00666F13">
            <w:pPr>
              <w:spacing w:line="240" w:lineRule="auto"/>
              <w:contextualSpacing/>
            </w:pPr>
            <w:r w:rsidRPr="00666F13">
              <w:t>Ranger Coordinator</w:t>
            </w:r>
          </w:p>
        </w:tc>
        <w:tc>
          <w:tcPr>
            <w:tcW w:w="5007" w:type="dxa"/>
            <w:gridSpan w:val="2"/>
            <w:tcBorders>
              <w:top w:val="single" w:sz="4" w:space="0" w:color="000000"/>
              <w:left w:val="single" w:sz="4" w:space="0" w:color="000000"/>
              <w:bottom w:val="single" w:sz="4" w:space="0" w:color="000000"/>
              <w:right w:val="single" w:sz="4" w:space="0" w:color="000000"/>
            </w:tcBorders>
            <w:vAlign w:val="center"/>
            <w:hideMark/>
          </w:tcPr>
          <w:p w14:paraId="66C0BF83" w14:textId="05A4533A" w:rsidR="00A42584" w:rsidRPr="00666F13" w:rsidRDefault="00887E5E" w:rsidP="00666F13">
            <w:pPr>
              <w:spacing w:line="240" w:lineRule="auto"/>
              <w:contextualSpacing/>
            </w:pPr>
            <w:r w:rsidRPr="00666F13">
              <w:t xml:space="preserve">Draft Version 2 – Amended post feedback from Governance &amp; Risk and Public Health &amp; Safety Teams. </w:t>
            </w: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0B7FF835" w14:textId="0C19815C" w:rsidR="00A42584" w:rsidRPr="00666F13" w:rsidRDefault="00887E5E" w:rsidP="00666F13">
            <w:pPr>
              <w:spacing w:line="240" w:lineRule="auto"/>
              <w:contextualSpacing/>
              <w:jc w:val="center"/>
            </w:pPr>
            <w:r w:rsidRPr="00666F13">
              <w:t>22/08/2022</w:t>
            </w:r>
          </w:p>
        </w:tc>
      </w:tr>
      <w:tr w:rsidR="00A42584" w:rsidRPr="00666F13" w14:paraId="7321BBF9" w14:textId="77777777" w:rsidTr="00666F13">
        <w:trPr>
          <w:trHeight w:val="1313"/>
        </w:trPr>
        <w:tc>
          <w:tcPr>
            <w:tcW w:w="1064" w:type="dxa"/>
            <w:tcBorders>
              <w:top w:val="single" w:sz="4" w:space="0" w:color="000000"/>
              <w:left w:val="single" w:sz="4" w:space="0" w:color="000000"/>
              <w:bottom w:val="single" w:sz="4" w:space="0" w:color="000000"/>
              <w:right w:val="single" w:sz="4" w:space="0" w:color="000000"/>
            </w:tcBorders>
            <w:vAlign w:val="center"/>
            <w:hideMark/>
          </w:tcPr>
          <w:p w14:paraId="0D21B1A2" w14:textId="49845D1F" w:rsidR="00A42584" w:rsidRPr="00666F13" w:rsidRDefault="00887E5E" w:rsidP="00666F13">
            <w:pPr>
              <w:spacing w:line="240" w:lineRule="auto"/>
              <w:contextualSpacing/>
              <w:jc w:val="center"/>
            </w:pPr>
            <w:r w:rsidRPr="00666F13">
              <w:t>0.3</w:t>
            </w:r>
          </w:p>
        </w:tc>
        <w:tc>
          <w:tcPr>
            <w:tcW w:w="1553" w:type="dxa"/>
            <w:tcBorders>
              <w:top w:val="single" w:sz="4" w:space="0" w:color="000000"/>
              <w:left w:val="single" w:sz="4" w:space="0" w:color="000000"/>
              <w:bottom w:val="single" w:sz="4" w:space="0" w:color="000000"/>
              <w:right w:val="single" w:sz="4" w:space="0" w:color="000000"/>
            </w:tcBorders>
            <w:vAlign w:val="center"/>
          </w:tcPr>
          <w:p w14:paraId="60A84980" w14:textId="2C95FD76" w:rsidR="00A42584" w:rsidRPr="00666F13" w:rsidRDefault="00887E5E" w:rsidP="00666F13">
            <w:pPr>
              <w:spacing w:line="240" w:lineRule="auto"/>
              <w:contextualSpacing/>
            </w:pPr>
            <w:r w:rsidRPr="00666F13">
              <w:t xml:space="preserve">Ranger </w:t>
            </w:r>
            <w:r w:rsidR="00666F13" w:rsidRPr="00666F13">
              <w:t>Coordinator</w:t>
            </w:r>
          </w:p>
        </w:tc>
        <w:tc>
          <w:tcPr>
            <w:tcW w:w="5007" w:type="dxa"/>
            <w:gridSpan w:val="2"/>
            <w:tcBorders>
              <w:top w:val="single" w:sz="4" w:space="0" w:color="000000"/>
              <w:left w:val="single" w:sz="4" w:space="0" w:color="000000"/>
              <w:bottom w:val="single" w:sz="4" w:space="0" w:color="000000"/>
              <w:right w:val="single" w:sz="4" w:space="0" w:color="000000"/>
            </w:tcBorders>
            <w:vAlign w:val="center"/>
            <w:hideMark/>
          </w:tcPr>
          <w:p w14:paraId="504390A8" w14:textId="11295709" w:rsidR="00A42584" w:rsidRPr="00666F13" w:rsidRDefault="00887E5E" w:rsidP="00666F13">
            <w:pPr>
              <w:spacing w:line="240" w:lineRule="auto"/>
              <w:contextualSpacing/>
            </w:pPr>
            <w:r w:rsidRPr="00666F13">
              <w:t>Draft Version 3 – Prepared for final review.</w:t>
            </w: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4B11561F" w14:textId="0BC4F65A" w:rsidR="00A42584" w:rsidRPr="00666F13" w:rsidRDefault="00887E5E" w:rsidP="00666F13">
            <w:pPr>
              <w:spacing w:line="240" w:lineRule="auto"/>
              <w:contextualSpacing/>
              <w:jc w:val="center"/>
            </w:pPr>
            <w:r w:rsidRPr="00666F13">
              <w:t>24/11/2022</w:t>
            </w:r>
          </w:p>
        </w:tc>
      </w:tr>
    </w:tbl>
    <w:p w14:paraId="7035420E" w14:textId="77777777" w:rsidR="00180435" w:rsidRPr="00B77E83" w:rsidRDefault="00180435" w:rsidP="00B77E83"/>
    <w:sectPr w:rsidR="00180435" w:rsidRPr="00B77E83" w:rsidSect="00553A2E">
      <w:footerReference w:type="default" r:id="rId11"/>
      <w:headerReference w:type="first" r:id="rId12"/>
      <w:footerReference w:type="first" r:id="rId13"/>
      <w:type w:val="continuous"/>
      <w:pgSz w:w="11907" w:h="16840" w:code="9"/>
      <w:pgMar w:top="851" w:right="873" w:bottom="851" w:left="1440" w:header="227" w:footer="227" w:gutter="0"/>
      <w:paperSrc w:first="7"/>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2C72" w14:textId="77777777" w:rsidR="008D666F" w:rsidRDefault="008D666F" w:rsidP="006C0E77">
      <w:r>
        <w:separator/>
      </w:r>
    </w:p>
  </w:endnote>
  <w:endnote w:type="continuationSeparator" w:id="0">
    <w:p w14:paraId="53E86AAA" w14:textId="77777777" w:rsidR="008D666F" w:rsidRDefault="008D666F" w:rsidP="006C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E242" w14:textId="77777777" w:rsidR="008D0DEE" w:rsidRPr="008E5BDF" w:rsidRDefault="00553A2E" w:rsidP="006C0E77">
    <w:pPr>
      <w:pStyle w:val="Footer"/>
      <w:jc w:val="right"/>
    </w:pPr>
    <w:r w:rsidRPr="008E5BDF">
      <w:rPr>
        <w:color w:val="0070C0"/>
        <w:lang w:eastAsia="en-AU"/>
      </w:rPr>
      <w:t>www.albany.wa.gov.au</w:t>
    </w:r>
    <w:r w:rsidRPr="008E5BDF">
      <w:rPr>
        <w:lang w:eastAsia="en-AU"/>
      </w:rPr>
      <w:t xml:space="preserve"> | Page </w:t>
    </w:r>
    <w:r w:rsidRPr="008E5BDF">
      <w:rPr>
        <w:lang w:eastAsia="en-AU"/>
      </w:rPr>
      <w:fldChar w:fldCharType="begin"/>
    </w:r>
    <w:r w:rsidRPr="008E5BDF">
      <w:rPr>
        <w:lang w:eastAsia="en-AU"/>
      </w:rPr>
      <w:instrText xml:space="preserve"> PAGE </w:instrText>
    </w:r>
    <w:r w:rsidRPr="008E5BDF">
      <w:rPr>
        <w:lang w:eastAsia="en-AU"/>
      </w:rPr>
      <w:fldChar w:fldCharType="separate"/>
    </w:r>
    <w:r w:rsidR="00C6016B">
      <w:rPr>
        <w:noProof/>
        <w:lang w:eastAsia="en-AU"/>
      </w:rPr>
      <w:t>4</w:t>
    </w:r>
    <w:r w:rsidRPr="008E5BDF">
      <w:rPr>
        <w:lang w:eastAsia="en-AU"/>
      </w:rPr>
      <w:fldChar w:fldCharType="end"/>
    </w:r>
    <w:r w:rsidRPr="008E5BDF">
      <w:rPr>
        <w:lang w:eastAsia="en-AU"/>
      </w:rPr>
      <w:t xml:space="preserve"> of </w:t>
    </w:r>
    <w:r w:rsidRPr="008E5BDF">
      <w:rPr>
        <w:lang w:eastAsia="en-AU"/>
      </w:rPr>
      <w:fldChar w:fldCharType="begin"/>
    </w:r>
    <w:r w:rsidRPr="008E5BDF">
      <w:rPr>
        <w:lang w:eastAsia="en-AU"/>
      </w:rPr>
      <w:instrText xml:space="preserve"> NUMPAGES  </w:instrText>
    </w:r>
    <w:r w:rsidRPr="008E5BDF">
      <w:rPr>
        <w:lang w:eastAsia="en-AU"/>
      </w:rPr>
      <w:fldChar w:fldCharType="separate"/>
    </w:r>
    <w:r w:rsidR="00C6016B">
      <w:rPr>
        <w:noProof/>
        <w:lang w:eastAsia="en-AU"/>
      </w:rPr>
      <w:t>4</w:t>
    </w:r>
    <w:r w:rsidRPr="008E5BDF">
      <w:rPr>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C597" w14:textId="77777777" w:rsidR="00D73530" w:rsidRPr="008E5BDF" w:rsidRDefault="00553A2E" w:rsidP="006C0E77">
    <w:pPr>
      <w:pStyle w:val="Footer"/>
      <w:jc w:val="right"/>
      <w:rPr>
        <w:lang w:eastAsia="en-AU"/>
      </w:rPr>
    </w:pPr>
    <w:r w:rsidRPr="008E5BDF">
      <w:rPr>
        <w:color w:val="0070C0"/>
        <w:lang w:eastAsia="en-AU"/>
      </w:rPr>
      <w:t>www.albany.wa.gov.au</w:t>
    </w:r>
    <w:r w:rsidRPr="008E5BDF">
      <w:rPr>
        <w:lang w:eastAsia="en-AU"/>
      </w:rPr>
      <w:t xml:space="preserve"> | Page </w:t>
    </w:r>
    <w:r w:rsidRPr="008E5BDF">
      <w:rPr>
        <w:lang w:eastAsia="en-AU"/>
      </w:rPr>
      <w:fldChar w:fldCharType="begin"/>
    </w:r>
    <w:r w:rsidRPr="008E5BDF">
      <w:rPr>
        <w:lang w:eastAsia="en-AU"/>
      </w:rPr>
      <w:instrText xml:space="preserve"> PAGE </w:instrText>
    </w:r>
    <w:r w:rsidRPr="008E5BDF">
      <w:rPr>
        <w:lang w:eastAsia="en-AU"/>
      </w:rPr>
      <w:fldChar w:fldCharType="separate"/>
    </w:r>
    <w:r w:rsidR="00C6016B">
      <w:rPr>
        <w:noProof/>
        <w:lang w:eastAsia="en-AU"/>
      </w:rPr>
      <w:t>1</w:t>
    </w:r>
    <w:r w:rsidRPr="008E5BDF">
      <w:rPr>
        <w:lang w:eastAsia="en-AU"/>
      </w:rPr>
      <w:fldChar w:fldCharType="end"/>
    </w:r>
    <w:r w:rsidRPr="008E5BDF">
      <w:rPr>
        <w:lang w:eastAsia="en-AU"/>
      </w:rPr>
      <w:t xml:space="preserve"> of </w:t>
    </w:r>
    <w:r w:rsidRPr="008E5BDF">
      <w:rPr>
        <w:lang w:eastAsia="en-AU"/>
      </w:rPr>
      <w:fldChar w:fldCharType="begin"/>
    </w:r>
    <w:r w:rsidRPr="008E5BDF">
      <w:rPr>
        <w:lang w:eastAsia="en-AU"/>
      </w:rPr>
      <w:instrText xml:space="preserve"> NUMPAGES  </w:instrText>
    </w:r>
    <w:r w:rsidRPr="008E5BDF">
      <w:rPr>
        <w:lang w:eastAsia="en-AU"/>
      </w:rPr>
      <w:fldChar w:fldCharType="separate"/>
    </w:r>
    <w:r w:rsidR="00C6016B">
      <w:rPr>
        <w:noProof/>
        <w:lang w:eastAsia="en-AU"/>
      </w:rPr>
      <w:t>4</w:t>
    </w:r>
    <w:r w:rsidRPr="008E5BDF">
      <w:rPr>
        <w:lang w:eastAsia="en-AU"/>
      </w:rPr>
      <w:fldChar w:fldCharType="end"/>
    </w:r>
  </w:p>
  <w:p w14:paraId="28DDE5B5" w14:textId="77777777" w:rsidR="008D0DEE" w:rsidRDefault="008D0DEE" w:rsidP="006C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C1D7" w14:textId="77777777" w:rsidR="008D666F" w:rsidRDefault="008D666F" w:rsidP="006C0E77">
      <w:r>
        <w:separator/>
      </w:r>
    </w:p>
  </w:footnote>
  <w:footnote w:type="continuationSeparator" w:id="0">
    <w:p w14:paraId="32F02387" w14:textId="77777777" w:rsidR="008D666F" w:rsidRDefault="008D666F" w:rsidP="006C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jc w:val="center"/>
      <w:tblLook w:val="04A0" w:firstRow="1" w:lastRow="0" w:firstColumn="1" w:lastColumn="0" w:noHBand="0" w:noVBand="1"/>
    </w:tblPr>
    <w:tblGrid>
      <w:gridCol w:w="4684"/>
      <w:gridCol w:w="5205"/>
    </w:tblGrid>
    <w:tr w:rsidR="00D73530" w:rsidRPr="00D40795" w14:paraId="244EAC05" w14:textId="77777777" w:rsidTr="00DE63E8">
      <w:trPr>
        <w:trHeight w:val="562"/>
        <w:jc w:val="center"/>
      </w:trPr>
      <w:tc>
        <w:tcPr>
          <w:tcW w:w="4684" w:type="dxa"/>
        </w:tcPr>
        <w:p w14:paraId="62DB4CF8" w14:textId="77777777" w:rsidR="00D73530" w:rsidRPr="00D40795" w:rsidRDefault="00565297" w:rsidP="006C0E77">
          <w:pPr>
            <w:pStyle w:val="Header"/>
            <w:rPr>
              <w:sz w:val="24"/>
              <w:szCs w:val="24"/>
            </w:rPr>
          </w:pPr>
          <w:r w:rsidRPr="00C82727">
            <w:rPr>
              <w:noProof/>
              <w:lang w:eastAsia="en-AU"/>
            </w:rPr>
            <w:drawing>
              <wp:inline distT="0" distB="0" distL="0" distR="0" wp14:anchorId="0F39AF47" wp14:editId="3305F0F0">
                <wp:extent cx="923925" cy="746247"/>
                <wp:effectExtent l="0" t="0" r="0" b="0"/>
                <wp:docPr id="1" name="Picture 1" descr="Albany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any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207" cy="752129"/>
                        </a:xfrm>
                        <a:prstGeom prst="rect">
                          <a:avLst/>
                        </a:prstGeom>
                        <a:noFill/>
                        <a:ln>
                          <a:noFill/>
                        </a:ln>
                      </pic:spPr>
                    </pic:pic>
                  </a:graphicData>
                </a:graphic>
              </wp:inline>
            </w:drawing>
          </w:r>
        </w:p>
      </w:tc>
      <w:tc>
        <w:tcPr>
          <w:tcW w:w="5205" w:type="dxa"/>
        </w:tcPr>
        <w:p w14:paraId="1224AEB2" w14:textId="77777777" w:rsidR="00D73530" w:rsidRPr="007616FF" w:rsidRDefault="00D73530" w:rsidP="006C0E77">
          <w:pPr>
            <w:pStyle w:val="Header"/>
          </w:pPr>
        </w:p>
      </w:tc>
    </w:tr>
  </w:tbl>
  <w:p w14:paraId="792A0EFC" w14:textId="77777777" w:rsidR="00D73530" w:rsidRPr="00666F13" w:rsidRDefault="00D73530" w:rsidP="006C0E7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E1D"/>
    <w:multiLevelType w:val="hybridMultilevel"/>
    <w:tmpl w:val="9D58E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CE6911"/>
    <w:multiLevelType w:val="hybridMultilevel"/>
    <w:tmpl w:val="FB44E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45CC4"/>
    <w:multiLevelType w:val="hybridMultilevel"/>
    <w:tmpl w:val="0798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93018"/>
    <w:multiLevelType w:val="hybridMultilevel"/>
    <w:tmpl w:val="ED208EC4"/>
    <w:lvl w:ilvl="0" w:tplc="CFC8C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901FB7"/>
    <w:multiLevelType w:val="hybridMultilevel"/>
    <w:tmpl w:val="C9A2F7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35B02CE"/>
    <w:multiLevelType w:val="hybridMultilevel"/>
    <w:tmpl w:val="50ECBF30"/>
    <w:lvl w:ilvl="0" w:tplc="08DADC96">
      <w:start w:val="1"/>
      <w:numFmt w:val="decimal"/>
      <w:lvlText w:val="(%1)"/>
      <w:lvlJc w:val="left"/>
      <w:pPr>
        <w:ind w:left="720" w:hanging="360"/>
      </w:pPr>
      <w:rPr>
        <w:rFonts w:ascii="Arial" w:eastAsia="Calibri"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C51675"/>
    <w:multiLevelType w:val="hybridMultilevel"/>
    <w:tmpl w:val="72BE849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2D735390"/>
    <w:multiLevelType w:val="hybridMultilevel"/>
    <w:tmpl w:val="089CA65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313A4D80"/>
    <w:multiLevelType w:val="hybridMultilevel"/>
    <w:tmpl w:val="56847EE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35442B63"/>
    <w:multiLevelType w:val="hybridMultilevel"/>
    <w:tmpl w:val="F2A8BF8E"/>
    <w:lvl w:ilvl="0" w:tplc="C492BC98">
      <w:start w:val="1"/>
      <w:numFmt w:val="decimal"/>
      <w:lvlText w:val="%1."/>
      <w:lvlJc w:val="left"/>
      <w:pPr>
        <w:ind w:left="720" w:hanging="360"/>
      </w:pPr>
      <w:rPr>
        <w:b w:val="0"/>
        <w:sz w:val="22"/>
      </w:rPr>
    </w:lvl>
    <w:lvl w:ilvl="1" w:tplc="2E2E0F80">
      <w:numFmt w:val="bullet"/>
      <w:lvlText w:val="•"/>
      <w:lvlJc w:val="left"/>
      <w:pPr>
        <w:ind w:left="861" w:hanging="435"/>
      </w:pPr>
      <w:rPr>
        <w:rFonts w:ascii="Arial" w:eastAsia="Calibr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4702AD"/>
    <w:multiLevelType w:val="hybridMultilevel"/>
    <w:tmpl w:val="EFF8C06E"/>
    <w:lvl w:ilvl="0" w:tplc="D982D7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351195"/>
    <w:multiLevelType w:val="hybridMultilevel"/>
    <w:tmpl w:val="5134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AD0541"/>
    <w:multiLevelType w:val="hybridMultilevel"/>
    <w:tmpl w:val="60703798"/>
    <w:lvl w:ilvl="0" w:tplc="11B824F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EF7955"/>
    <w:multiLevelType w:val="hybridMultilevel"/>
    <w:tmpl w:val="82B60860"/>
    <w:lvl w:ilvl="0" w:tplc="88C679A4">
      <w:start w:val="1"/>
      <w:numFmt w:val="decimal"/>
      <w:pStyle w:val="ParaNum"/>
      <w:lvlText w:val="%1."/>
      <w:lvlJc w:val="left"/>
      <w:pPr>
        <w:ind w:left="720" w:hanging="360"/>
      </w:pPr>
      <w:rPr>
        <w:rFonts w:ascii="Arial" w:hAnsi="Arial" w:cs="Arial" w:hint="default"/>
        <w:i w:val="0"/>
        <w:color w:val="auto"/>
        <w:sz w:val="22"/>
        <w:szCs w:val="22"/>
      </w:rPr>
    </w:lvl>
    <w:lvl w:ilvl="1" w:tplc="62B8C07E">
      <w:start w:val="1"/>
      <w:numFmt w:val="lowerLetter"/>
      <w:pStyle w:val="ParaSubNum"/>
      <w:lvlText w:val="%2."/>
      <w:lvlJc w:val="left"/>
      <w:pPr>
        <w:ind w:left="1440" w:hanging="360"/>
      </w:pPr>
    </w:lvl>
    <w:lvl w:ilvl="2" w:tplc="0C09001B">
      <w:start w:val="1"/>
      <w:numFmt w:val="lowerRoman"/>
      <w:lvlText w:val="%3."/>
      <w:lvlJc w:val="right"/>
      <w:pPr>
        <w:ind w:left="2160" w:hanging="180"/>
      </w:pPr>
    </w:lvl>
    <w:lvl w:ilvl="3" w:tplc="9FA045DC">
      <w:start w:val="1"/>
      <w:numFmt w:val="lowerRoman"/>
      <w:pStyle w:val="ParaSubSubNum"/>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4B288C"/>
    <w:multiLevelType w:val="hybridMultilevel"/>
    <w:tmpl w:val="73088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977859"/>
    <w:multiLevelType w:val="hybridMultilevel"/>
    <w:tmpl w:val="7FC89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C7D25"/>
    <w:multiLevelType w:val="hybridMultilevel"/>
    <w:tmpl w:val="6D361826"/>
    <w:lvl w:ilvl="0" w:tplc="11B824F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960F2C"/>
    <w:multiLevelType w:val="hybridMultilevel"/>
    <w:tmpl w:val="B2E0CCF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0E0034"/>
    <w:multiLevelType w:val="multilevel"/>
    <w:tmpl w:val="ECCA8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951239"/>
    <w:multiLevelType w:val="hybridMultilevel"/>
    <w:tmpl w:val="5824DD8E"/>
    <w:lvl w:ilvl="0" w:tplc="4358146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150156F"/>
    <w:multiLevelType w:val="hybridMultilevel"/>
    <w:tmpl w:val="152A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474C26"/>
    <w:multiLevelType w:val="hybridMultilevel"/>
    <w:tmpl w:val="43BAB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F658A8"/>
    <w:multiLevelType w:val="hybridMultilevel"/>
    <w:tmpl w:val="1C067AB0"/>
    <w:lvl w:ilvl="0" w:tplc="129E74C4">
      <w:start w:val="1"/>
      <w:numFmt w:val="decimal"/>
      <w:lvlText w:val="%1."/>
      <w:lvlJc w:val="left"/>
      <w:pPr>
        <w:ind w:left="36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3B5D8A"/>
    <w:multiLevelType w:val="hybridMultilevel"/>
    <w:tmpl w:val="0A64EAFC"/>
    <w:lvl w:ilvl="0" w:tplc="CDA0FF62">
      <w:start w:val="90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A58B4"/>
    <w:multiLevelType w:val="hybridMultilevel"/>
    <w:tmpl w:val="5AAAA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735223">
    <w:abstractNumId w:val="17"/>
  </w:num>
  <w:num w:numId="2" w16cid:durableId="497037895">
    <w:abstractNumId w:val="0"/>
  </w:num>
  <w:num w:numId="3" w16cid:durableId="327248113">
    <w:abstractNumId w:val="11"/>
  </w:num>
  <w:num w:numId="4" w16cid:durableId="2122915097">
    <w:abstractNumId w:val="2"/>
  </w:num>
  <w:num w:numId="5" w16cid:durableId="1140803720">
    <w:abstractNumId w:val="8"/>
  </w:num>
  <w:num w:numId="6" w16cid:durableId="1848669604">
    <w:abstractNumId w:val="22"/>
  </w:num>
  <w:num w:numId="7" w16cid:durableId="1230192644">
    <w:abstractNumId w:val="9"/>
  </w:num>
  <w:num w:numId="8" w16cid:durableId="948393280">
    <w:abstractNumId w:val="15"/>
  </w:num>
  <w:num w:numId="9" w16cid:durableId="1802073815">
    <w:abstractNumId w:val="10"/>
  </w:num>
  <w:num w:numId="10" w16cid:durableId="1424959193">
    <w:abstractNumId w:val="19"/>
  </w:num>
  <w:num w:numId="11" w16cid:durableId="2085684605">
    <w:abstractNumId w:val="20"/>
  </w:num>
  <w:num w:numId="12" w16cid:durableId="2042782785">
    <w:abstractNumId w:val="5"/>
  </w:num>
  <w:num w:numId="13" w16cid:durableId="726152523">
    <w:abstractNumId w:val="1"/>
  </w:num>
  <w:num w:numId="14" w16cid:durableId="1267730774">
    <w:abstractNumId w:val="13"/>
  </w:num>
  <w:num w:numId="15" w16cid:durableId="415831659">
    <w:abstractNumId w:val="13"/>
  </w:num>
  <w:num w:numId="16" w16cid:durableId="2083796212">
    <w:abstractNumId w:val="13"/>
  </w:num>
  <w:num w:numId="17" w16cid:durableId="767192024">
    <w:abstractNumId w:val="13"/>
  </w:num>
  <w:num w:numId="18" w16cid:durableId="17392015">
    <w:abstractNumId w:val="13"/>
  </w:num>
  <w:num w:numId="19" w16cid:durableId="2141991718">
    <w:abstractNumId w:val="13"/>
  </w:num>
  <w:num w:numId="20" w16cid:durableId="1293092620">
    <w:abstractNumId w:val="13"/>
  </w:num>
  <w:num w:numId="21" w16cid:durableId="1469974365">
    <w:abstractNumId w:val="13"/>
  </w:num>
  <w:num w:numId="22" w16cid:durableId="776020410">
    <w:abstractNumId w:val="13"/>
  </w:num>
  <w:num w:numId="23" w16cid:durableId="310525842">
    <w:abstractNumId w:val="13"/>
  </w:num>
  <w:num w:numId="24" w16cid:durableId="2045209934">
    <w:abstractNumId w:val="13"/>
  </w:num>
  <w:num w:numId="25" w16cid:durableId="1671056666">
    <w:abstractNumId w:val="13"/>
  </w:num>
  <w:num w:numId="26" w16cid:durableId="1693414339">
    <w:abstractNumId w:val="13"/>
  </w:num>
  <w:num w:numId="27" w16cid:durableId="1265771721">
    <w:abstractNumId w:val="14"/>
  </w:num>
  <w:num w:numId="28" w16cid:durableId="678502760">
    <w:abstractNumId w:val="13"/>
  </w:num>
  <w:num w:numId="29" w16cid:durableId="869220052">
    <w:abstractNumId w:val="13"/>
  </w:num>
  <w:num w:numId="30" w16cid:durableId="381559502">
    <w:abstractNumId w:val="13"/>
  </w:num>
  <w:num w:numId="31" w16cid:durableId="1800175072">
    <w:abstractNumId w:val="13"/>
  </w:num>
  <w:num w:numId="32" w16cid:durableId="967515061">
    <w:abstractNumId w:val="13"/>
  </w:num>
  <w:num w:numId="33" w16cid:durableId="2118794536">
    <w:abstractNumId w:val="3"/>
  </w:num>
  <w:num w:numId="34" w16cid:durableId="1238781786">
    <w:abstractNumId w:val="23"/>
  </w:num>
  <w:num w:numId="35" w16cid:durableId="1306230563">
    <w:abstractNumId w:val="13"/>
  </w:num>
  <w:num w:numId="36" w16cid:durableId="1878740588">
    <w:abstractNumId w:val="13"/>
    <w:lvlOverride w:ilvl="0">
      <w:startOverride w:val="1"/>
    </w:lvlOverride>
  </w:num>
  <w:num w:numId="37" w16cid:durableId="1207644088">
    <w:abstractNumId w:val="13"/>
    <w:lvlOverride w:ilvl="0">
      <w:startOverride w:val="1"/>
    </w:lvlOverride>
  </w:num>
  <w:num w:numId="38" w16cid:durableId="1780299132">
    <w:abstractNumId w:val="13"/>
  </w:num>
  <w:num w:numId="39" w16cid:durableId="1776628148">
    <w:abstractNumId w:val="24"/>
  </w:num>
  <w:num w:numId="40" w16cid:durableId="1343434086">
    <w:abstractNumId w:val="12"/>
  </w:num>
  <w:num w:numId="41" w16cid:durableId="1154837439">
    <w:abstractNumId w:val="16"/>
  </w:num>
  <w:num w:numId="42" w16cid:durableId="7752255">
    <w:abstractNumId w:val="13"/>
  </w:num>
  <w:num w:numId="43" w16cid:durableId="455568944">
    <w:abstractNumId w:val="13"/>
  </w:num>
  <w:num w:numId="44" w16cid:durableId="211314324">
    <w:abstractNumId w:val="13"/>
  </w:num>
  <w:num w:numId="45" w16cid:durableId="81486652">
    <w:abstractNumId w:val="13"/>
  </w:num>
  <w:num w:numId="46" w16cid:durableId="1554387550">
    <w:abstractNumId w:val="4"/>
  </w:num>
  <w:num w:numId="47" w16cid:durableId="1145976691">
    <w:abstractNumId w:val="6"/>
  </w:num>
  <w:num w:numId="48" w16cid:durableId="725954201">
    <w:abstractNumId w:val="18"/>
  </w:num>
  <w:num w:numId="49" w16cid:durableId="547301871">
    <w:abstractNumId w:val="21"/>
  </w:num>
  <w:num w:numId="50" w16cid:durableId="1921525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4A"/>
    <w:rsid w:val="00010227"/>
    <w:rsid w:val="00013D66"/>
    <w:rsid w:val="00014BA0"/>
    <w:rsid w:val="000172BB"/>
    <w:rsid w:val="00022AAA"/>
    <w:rsid w:val="000243F7"/>
    <w:rsid w:val="00026C8C"/>
    <w:rsid w:val="00034D94"/>
    <w:rsid w:val="000375AF"/>
    <w:rsid w:val="000518CE"/>
    <w:rsid w:val="000625F2"/>
    <w:rsid w:val="00073D99"/>
    <w:rsid w:val="000B5B9A"/>
    <w:rsid w:val="000C6713"/>
    <w:rsid w:val="000D09AE"/>
    <w:rsid w:val="000D208E"/>
    <w:rsid w:val="000D45B0"/>
    <w:rsid w:val="000D4F44"/>
    <w:rsid w:val="000F5782"/>
    <w:rsid w:val="001004CB"/>
    <w:rsid w:val="001007F0"/>
    <w:rsid w:val="001132A6"/>
    <w:rsid w:val="00117204"/>
    <w:rsid w:val="0014194C"/>
    <w:rsid w:val="001419C4"/>
    <w:rsid w:val="0016067E"/>
    <w:rsid w:val="00180435"/>
    <w:rsid w:val="00182E44"/>
    <w:rsid w:val="00195343"/>
    <w:rsid w:val="0019771E"/>
    <w:rsid w:val="001A2747"/>
    <w:rsid w:val="001B000C"/>
    <w:rsid w:val="001B4628"/>
    <w:rsid w:val="001C247D"/>
    <w:rsid w:val="001E36D0"/>
    <w:rsid w:val="001F7FB3"/>
    <w:rsid w:val="002006EF"/>
    <w:rsid w:val="0021066C"/>
    <w:rsid w:val="0021496D"/>
    <w:rsid w:val="0023171A"/>
    <w:rsid w:val="002548A0"/>
    <w:rsid w:val="00260CA0"/>
    <w:rsid w:val="00262D1E"/>
    <w:rsid w:val="00272AD9"/>
    <w:rsid w:val="002934C6"/>
    <w:rsid w:val="00294658"/>
    <w:rsid w:val="002B3ADD"/>
    <w:rsid w:val="002C1194"/>
    <w:rsid w:val="002C27AA"/>
    <w:rsid w:val="002C6793"/>
    <w:rsid w:val="002E01BE"/>
    <w:rsid w:val="002E6198"/>
    <w:rsid w:val="002E6B79"/>
    <w:rsid w:val="002E72CE"/>
    <w:rsid w:val="002F795D"/>
    <w:rsid w:val="00300D14"/>
    <w:rsid w:val="00303B01"/>
    <w:rsid w:val="00304466"/>
    <w:rsid w:val="00310624"/>
    <w:rsid w:val="0031155E"/>
    <w:rsid w:val="003354B8"/>
    <w:rsid w:val="0033782C"/>
    <w:rsid w:val="0034144A"/>
    <w:rsid w:val="0035573F"/>
    <w:rsid w:val="00356DCF"/>
    <w:rsid w:val="00360398"/>
    <w:rsid w:val="00387CB4"/>
    <w:rsid w:val="0039470A"/>
    <w:rsid w:val="003A1305"/>
    <w:rsid w:val="003A1C77"/>
    <w:rsid w:val="003A3E9F"/>
    <w:rsid w:val="003A48A4"/>
    <w:rsid w:val="003B1218"/>
    <w:rsid w:val="003B4535"/>
    <w:rsid w:val="003C4F66"/>
    <w:rsid w:val="003E6E72"/>
    <w:rsid w:val="00407A0D"/>
    <w:rsid w:val="00415596"/>
    <w:rsid w:val="00421F56"/>
    <w:rsid w:val="00424885"/>
    <w:rsid w:val="00425762"/>
    <w:rsid w:val="0043367A"/>
    <w:rsid w:val="00437301"/>
    <w:rsid w:val="0044530A"/>
    <w:rsid w:val="00461D93"/>
    <w:rsid w:val="00475751"/>
    <w:rsid w:val="004852D0"/>
    <w:rsid w:val="004856E9"/>
    <w:rsid w:val="004A4626"/>
    <w:rsid w:val="004C5B03"/>
    <w:rsid w:val="004C6645"/>
    <w:rsid w:val="004D567A"/>
    <w:rsid w:val="004E5597"/>
    <w:rsid w:val="004F4641"/>
    <w:rsid w:val="0052013F"/>
    <w:rsid w:val="0053466E"/>
    <w:rsid w:val="00536F3D"/>
    <w:rsid w:val="00544264"/>
    <w:rsid w:val="00553A2E"/>
    <w:rsid w:val="00557C54"/>
    <w:rsid w:val="0056053F"/>
    <w:rsid w:val="00565297"/>
    <w:rsid w:val="005738FB"/>
    <w:rsid w:val="005744C6"/>
    <w:rsid w:val="00582AC8"/>
    <w:rsid w:val="00585B8A"/>
    <w:rsid w:val="005C1811"/>
    <w:rsid w:val="005C4C28"/>
    <w:rsid w:val="005D3137"/>
    <w:rsid w:val="005D35E6"/>
    <w:rsid w:val="005D6086"/>
    <w:rsid w:val="005E4746"/>
    <w:rsid w:val="005F0DE6"/>
    <w:rsid w:val="005F3852"/>
    <w:rsid w:val="00615A85"/>
    <w:rsid w:val="006257A5"/>
    <w:rsid w:val="0062581D"/>
    <w:rsid w:val="00631B17"/>
    <w:rsid w:val="00631F85"/>
    <w:rsid w:val="00637322"/>
    <w:rsid w:val="00637CBF"/>
    <w:rsid w:val="00650EA4"/>
    <w:rsid w:val="00665C52"/>
    <w:rsid w:val="00666F13"/>
    <w:rsid w:val="0069061F"/>
    <w:rsid w:val="00690C39"/>
    <w:rsid w:val="00695FCB"/>
    <w:rsid w:val="00697927"/>
    <w:rsid w:val="006A32AD"/>
    <w:rsid w:val="006A3AF6"/>
    <w:rsid w:val="006A5D16"/>
    <w:rsid w:val="006B20C3"/>
    <w:rsid w:val="006B4C06"/>
    <w:rsid w:val="006C0E77"/>
    <w:rsid w:val="006C7662"/>
    <w:rsid w:val="006D0F65"/>
    <w:rsid w:val="006F0313"/>
    <w:rsid w:val="0071197E"/>
    <w:rsid w:val="00726846"/>
    <w:rsid w:val="007413A4"/>
    <w:rsid w:val="00753857"/>
    <w:rsid w:val="007616FF"/>
    <w:rsid w:val="00762003"/>
    <w:rsid w:val="00762ABC"/>
    <w:rsid w:val="00763468"/>
    <w:rsid w:val="0077311C"/>
    <w:rsid w:val="00775A6B"/>
    <w:rsid w:val="00783F4E"/>
    <w:rsid w:val="00786199"/>
    <w:rsid w:val="0079032B"/>
    <w:rsid w:val="0079065C"/>
    <w:rsid w:val="007A5BB5"/>
    <w:rsid w:val="007B08AA"/>
    <w:rsid w:val="007B69BE"/>
    <w:rsid w:val="007B72D1"/>
    <w:rsid w:val="007B78EF"/>
    <w:rsid w:val="007C6312"/>
    <w:rsid w:val="007D51BA"/>
    <w:rsid w:val="007E7B80"/>
    <w:rsid w:val="007F2982"/>
    <w:rsid w:val="008030F6"/>
    <w:rsid w:val="0081091C"/>
    <w:rsid w:val="00811E82"/>
    <w:rsid w:val="00814474"/>
    <w:rsid w:val="00826A28"/>
    <w:rsid w:val="00832E52"/>
    <w:rsid w:val="00836A9C"/>
    <w:rsid w:val="008541A7"/>
    <w:rsid w:val="008569FA"/>
    <w:rsid w:val="008640E8"/>
    <w:rsid w:val="00880535"/>
    <w:rsid w:val="0088241B"/>
    <w:rsid w:val="0088671F"/>
    <w:rsid w:val="00887E5E"/>
    <w:rsid w:val="00893568"/>
    <w:rsid w:val="008A1334"/>
    <w:rsid w:val="008A32D7"/>
    <w:rsid w:val="008B0B5F"/>
    <w:rsid w:val="008B1AB7"/>
    <w:rsid w:val="008C075A"/>
    <w:rsid w:val="008D0DEE"/>
    <w:rsid w:val="008D666F"/>
    <w:rsid w:val="008D6775"/>
    <w:rsid w:val="008E032D"/>
    <w:rsid w:val="008E5BDF"/>
    <w:rsid w:val="008F0E19"/>
    <w:rsid w:val="008F2F4D"/>
    <w:rsid w:val="008F302B"/>
    <w:rsid w:val="008F6CBE"/>
    <w:rsid w:val="00923091"/>
    <w:rsid w:val="00955232"/>
    <w:rsid w:val="00970279"/>
    <w:rsid w:val="009713A7"/>
    <w:rsid w:val="009847D4"/>
    <w:rsid w:val="0099428F"/>
    <w:rsid w:val="0099567B"/>
    <w:rsid w:val="009A6320"/>
    <w:rsid w:val="009D4361"/>
    <w:rsid w:val="009E1108"/>
    <w:rsid w:val="009E3F96"/>
    <w:rsid w:val="009E43CE"/>
    <w:rsid w:val="009E5BE9"/>
    <w:rsid w:val="009F1D08"/>
    <w:rsid w:val="009F251A"/>
    <w:rsid w:val="009F4D1F"/>
    <w:rsid w:val="00A03A1B"/>
    <w:rsid w:val="00A0549D"/>
    <w:rsid w:val="00A121EB"/>
    <w:rsid w:val="00A161BA"/>
    <w:rsid w:val="00A27943"/>
    <w:rsid w:val="00A400BF"/>
    <w:rsid w:val="00A4142A"/>
    <w:rsid w:val="00A42584"/>
    <w:rsid w:val="00A458A5"/>
    <w:rsid w:val="00A468B0"/>
    <w:rsid w:val="00A5038E"/>
    <w:rsid w:val="00A73434"/>
    <w:rsid w:val="00A84B7C"/>
    <w:rsid w:val="00A90EE5"/>
    <w:rsid w:val="00A96BBD"/>
    <w:rsid w:val="00AB42D7"/>
    <w:rsid w:val="00AD4189"/>
    <w:rsid w:val="00AF1B70"/>
    <w:rsid w:val="00AF4A7F"/>
    <w:rsid w:val="00AF4B0C"/>
    <w:rsid w:val="00B01B02"/>
    <w:rsid w:val="00B01FB4"/>
    <w:rsid w:val="00B25579"/>
    <w:rsid w:val="00B30AC8"/>
    <w:rsid w:val="00B44C61"/>
    <w:rsid w:val="00B6356E"/>
    <w:rsid w:val="00B64602"/>
    <w:rsid w:val="00B646B3"/>
    <w:rsid w:val="00B6496E"/>
    <w:rsid w:val="00B67458"/>
    <w:rsid w:val="00B71BCF"/>
    <w:rsid w:val="00B77E83"/>
    <w:rsid w:val="00B82A4C"/>
    <w:rsid w:val="00B84690"/>
    <w:rsid w:val="00B87D22"/>
    <w:rsid w:val="00B913DE"/>
    <w:rsid w:val="00B92D4B"/>
    <w:rsid w:val="00B93730"/>
    <w:rsid w:val="00BD6855"/>
    <w:rsid w:val="00C00EF5"/>
    <w:rsid w:val="00C015EE"/>
    <w:rsid w:val="00C01699"/>
    <w:rsid w:val="00C0785F"/>
    <w:rsid w:val="00C148DF"/>
    <w:rsid w:val="00C14BD0"/>
    <w:rsid w:val="00C1581D"/>
    <w:rsid w:val="00C317D0"/>
    <w:rsid w:val="00C41477"/>
    <w:rsid w:val="00C6016B"/>
    <w:rsid w:val="00C614D6"/>
    <w:rsid w:val="00C66D46"/>
    <w:rsid w:val="00C8111C"/>
    <w:rsid w:val="00C84A4E"/>
    <w:rsid w:val="00C86C3A"/>
    <w:rsid w:val="00CE77E9"/>
    <w:rsid w:val="00D46C74"/>
    <w:rsid w:val="00D5778B"/>
    <w:rsid w:val="00D73530"/>
    <w:rsid w:val="00D7362C"/>
    <w:rsid w:val="00D91EB0"/>
    <w:rsid w:val="00D9403D"/>
    <w:rsid w:val="00DA5B46"/>
    <w:rsid w:val="00DB6E8A"/>
    <w:rsid w:val="00DD51D9"/>
    <w:rsid w:val="00DE2972"/>
    <w:rsid w:val="00DE4876"/>
    <w:rsid w:val="00DE608B"/>
    <w:rsid w:val="00DE63E8"/>
    <w:rsid w:val="00DE6E5A"/>
    <w:rsid w:val="00DF1912"/>
    <w:rsid w:val="00DF39EA"/>
    <w:rsid w:val="00DF3E7C"/>
    <w:rsid w:val="00DF4D7C"/>
    <w:rsid w:val="00E101E5"/>
    <w:rsid w:val="00E16B86"/>
    <w:rsid w:val="00E331D9"/>
    <w:rsid w:val="00E3626A"/>
    <w:rsid w:val="00E37F4F"/>
    <w:rsid w:val="00E40687"/>
    <w:rsid w:val="00E46767"/>
    <w:rsid w:val="00E55422"/>
    <w:rsid w:val="00E61828"/>
    <w:rsid w:val="00E63951"/>
    <w:rsid w:val="00E73C99"/>
    <w:rsid w:val="00E76CD7"/>
    <w:rsid w:val="00E7746D"/>
    <w:rsid w:val="00E96CE8"/>
    <w:rsid w:val="00EB633F"/>
    <w:rsid w:val="00EC084B"/>
    <w:rsid w:val="00EC0EB3"/>
    <w:rsid w:val="00EC1451"/>
    <w:rsid w:val="00EC709E"/>
    <w:rsid w:val="00EE3173"/>
    <w:rsid w:val="00EF3344"/>
    <w:rsid w:val="00EF6C47"/>
    <w:rsid w:val="00F028F6"/>
    <w:rsid w:val="00F077E8"/>
    <w:rsid w:val="00F208DE"/>
    <w:rsid w:val="00F213C5"/>
    <w:rsid w:val="00F3623D"/>
    <w:rsid w:val="00F36C1A"/>
    <w:rsid w:val="00F42E34"/>
    <w:rsid w:val="00F55048"/>
    <w:rsid w:val="00F63C2A"/>
    <w:rsid w:val="00F80E1C"/>
    <w:rsid w:val="00F864E6"/>
    <w:rsid w:val="00F90790"/>
    <w:rsid w:val="00F91149"/>
    <w:rsid w:val="00F91D32"/>
    <w:rsid w:val="00F97AEC"/>
    <w:rsid w:val="00FA216D"/>
    <w:rsid w:val="00FB5A55"/>
    <w:rsid w:val="00FB71DB"/>
    <w:rsid w:val="00FC4516"/>
    <w:rsid w:val="00FC59E0"/>
    <w:rsid w:val="00FD2BBC"/>
    <w:rsid w:val="00FD41F6"/>
    <w:rsid w:val="00FD7236"/>
    <w:rsid w:val="00FF1C45"/>
    <w:rsid w:val="00FF1D9D"/>
    <w:rsid w:val="00FF7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43E52"/>
  <w15:docId w15:val="{5FE0EB40-6692-43C7-B6F7-331C01C1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E77"/>
    <w:pPr>
      <w:spacing w:line="276" w:lineRule="auto"/>
      <w:jc w:val="both"/>
    </w:pPr>
    <w:rPr>
      <w:rFonts w:ascii="Arial Narrow" w:eastAsia="Calibri" w:hAnsi="Arial Narrow"/>
      <w:sz w:val="22"/>
      <w:szCs w:val="22"/>
      <w:lang w:eastAsia="en-US"/>
    </w:rPr>
  </w:style>
  <w:style w:type="paragraph" w:styleId="Heading1">
    <w:name w:val="heading 1"/>
    <w:basedOn w:val="Normal"/>
    <w:next w:val="Normal"/>
    <w:link w:val="Heading1Char"/>
    <w:uiPriority w:val="9"/>
    <w:qFormat/>
    <w:rsid w:val="00666F13"/>
    <w:pPr>
      <w:keepNext/>
      <w:keepLines/>
      <w:spacing w:before="80" w:after="80" w:line="240" w:lineRule="auto"/>
      <w:outlineLvl w:val="0"/>
    </w:pPr>
    <w:rPr>
      <w:rFonts w:eastAsia="Times New Roman"/>
      <w:b/>
      <w:bCs/>
      <w:color w:val="0070C0"/>
      <w:szCs w:val="28"/>
    </w:rPr>
  </w:style>
  <w:style w:type="paragraph" w:styleId="Heading2">
    <w:name w:val="heading 2"/>
    <w:basedOn w:val="Normal"/>
    <w:next w:val="Normal"/>
    <w:link w:val="Heading2Char"/>
    <w:uiPriority w:val="9"/>
    <w:unhideWhenUsed/>
    <w:qFormat/>
    <w:rsid w:val="00536F3D"/>
    <w:pPr>
      <w:keepNext/>
      <w:keepLines/>
      <w:spacing w:before="200" w:after="200" w:line="240" w:lineRule="auto"/>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nhideWhenUsed/>
    <w:rsid w:val="00A0549D"/>
    <w:pPr>
      <w:tabs>
        <w:tab w:val="center" w:pos="4513"/>
        <w:tab w:val="right" w:pos="9026"/>
      </w:tabs>
    </w:pPr>
  </w:style>
  <w:style w:type="character" w:customStyle="1" w:styleId="HeaderChar">
    <w:name w:val="Header Char"/>
    <w:aliases w:val=" Char Char,Char Char"/>
    <w:link w:val="Header"/>
    <w:rsid w:val="00A0549D"/>
    <w:rPr>
      <w:rFonts w:ascii="Arial" w:hAnsi="Arial" w:cs="Times New Roman"/>
      <w:szCs w:val="20"/>
    </w:rPr>
  </w:style>
  <w:style w:type="paragraph" w:styleId="Footer">
    <w:name w:val="footer"/>
    <w:basedOn w:val="Normal"/>
    <w:link w:val="FooterChar"/>
    <w:uiPriority w:val="99"/>
    <w:unhideWhenUsed/>
    <w:rsid w:val="00A0549D"/>
    <w:pPr>
      <w:tabs>
        <w:tab w:val="center" w:pos="4513"/>
        <w:tab w:val="right" w:pos="9026"/>
      </w:tabs>
    </w:pPr>
  </w:style>
  <w:style w:type="character" w:customStyle="1" w:styleId="FooterChar">
    <w:name w:val="Footer Char"/>
    <w:link w:val="Footer"/>
    <w:uiPriority w:val="99"/>
    <w:rsid w:val="00A0549D"/>
    <w:rPr>
      <w:rFonts w:ascii="Arial" w:hAnsi="Arial" w:cs="Times New Roman"/>
      <w:szCs w:val="20"/>
    </w:rPr>
  </w:style>
  <w:style w:type="table" w:styleId="TableGrid">
    <w:name w:val="Table Grid"/>
    <w:basedOn w:val="TableNormal"/>
    <w:uiPriority w:val="59"/>
    <w:rsid w:val="00A0549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0549D"/>
    <w:pPr>
      <w:ind w:left="720"/>
    </w:pPr>
  </w:style>
  <w:style w:type="paragraph" w:styleId="NoSpacing">
    <w:name w:val="No Spacing"/>
    <w:uiPriority w:val="1"/>
    <w:qFormat/>
    <w:rsid w:val="00826A28"/>
    <w:pPr>
      <w:jc w:val="both"/>
    </w:pPr>
    <w:rPr>
      <w:rFonts w:ascii="Arial" w:eastAsia="Calibri" w:hAnsi="Arial"/>
      <w:sz w:val="22"/>
      <w:szCs w:val="22"/>
      <w:lang w:eastAsia="en-US"/>
    </w:rPr>
  </w:style>
  <w:style w:type="character" w:customStyle="1" w:styleId="Heading1Char">
    <w:name w:val="Heading 1 Char"/>
    <w:link w:val="Heading1"/>
    <w:uiPriority w:val="9"/>
    <w:rsid w:val="00666F13"/>
    <w:rPr>
      <w:rFonts w:ascii="Arial Narrow" w:hAnsi="Arial Narrow"/>
      <w:b/>
      <w:bCs/>
      <w:color w:val="0070C0"/>
      <w:sz w:val="22"/>
      <w:szCs w:val="28"/>
      <w:lang w:eastAsia="en-US"/>
    </w:rPr>
  </w:style>
  <w:style w:type="character" w:customStyle="1" w:styleId="Heading2Char">
    <w:name w:val="Heading 2 Char"/>
    <w:link w:val="Heading2"/>
    <w:uiPriority w:val="9"/>
    <w:rsid w:val="00536F3D"/>
    <w:rPr>
      <w:rFonts w:ascii="Arial" w:eastAsia="Times New Roman" w:hAnsi="Arial" w:cs="Times New Roman"/>
      <w:b/>
      <w:bCs/>
    </w:rPr>
  </w:style>
  <w:style w:type="paragraph" w:styleId="Title">
    <w:name w:val="Title"/>
    <w:basedOn w:val="Normal"/>
    <w:next w:val="Normal"/>
    <w:link w:val="TitleChar"/>
    <w:uiPriority w:val="10"/>
    <w:qFormat/>
    <w:rsid w:val="0056053F"/>
    <w:pPr>
      <w:pBdr>
        <w:bottom w:val="single" w:sz="8" w:space="4" w:color="4F81BD"/>
      </w:pBdr>
      <w:spacing w:line="240" w:lineRule="auto"/>
    </w:pPr>
    <w:rPr>
      <w:rFonts w:eastAsia="Times New Roman"/>
      <w:spacing w:val="5"/>
      <w:kern w:val="28"/>
      <w:sz w:val="28"/>
      <w:szCs w:val="52"/>
    </w:rPr>
  </w:style>
  <w:style w:type="character" w:customStyle="1" w:styleId="TitleChar">
    <w:name w:val="Title Char"/>
    <w:link w:val="Title"/>
    <w:uiPriority w:val="10"/>
    <w:rsid w:val="0056053F"/>
    <w:rPr>
      <w:rFonts w:ascii="Arial" w:eastAsia="Times New Roman" w:hAnsi="Arial" w:cs="Times New Roman"/>
      <w:spacing w:val="5"/>
      <w:kern w:val="28"/>
      <w:sz w:val="28"/>
      <w:szCs w:val="52"/>
    </w:rPr>
  </w:style>
  <w:style w:type="paragraph" w:styleId="Subtitle">
    <w:name w:val="Subtitle"/>
    <w:basedOn w:val="Normal"/>
    <w:next w:val="Normal"/>
    <w:link w:val="SubtitleChar"/>
    <w:uiPriority w:val="11"/>
    <w:qFormat/>
    <w:rsid w:val="00826A28"/>
    <w:pPr>
      <w:numPr>
        <w:ilvl w:val="1"/>
      </w:numPr>
    </w:pPr>
    <w:rPr>
      <w:rFonts w:eastAsia="Times New Roman"/>
      <w:i/>
      <w:iCs/>
      <w:spacing w:val="15"/>
      <w:sz w:val="24"/>
      <w:szCs w:val="24"/>
    </w:rPr>
  </w:style>
  <w:style w:type="character" w:customStyle="1" w:styleId="SubtitleChar">
    <w:name w:val="Subtitle Char"/>
    <w:link w:val="Subtitle"/>
    <w:uiPriority w:val="11"/>
    <w:rsid w:val="00826A28"/>
    <w:rPr>
      <w:rFonts w:ascii="Arial" w:eastAsia="Times New Roman" w:hAnsi="Arial" w:cs="Times New Roman"/>
      <w:i/>
      <w:iCs/>
      <w:spacing w:val="15"/>
      <w:sz w:val="24"/>
      <w:szCs w:val="24"/>
    </w:rPr>
  </w:style>
  <w:style w:type="character" w:styleId="IntenseEmphasis">
    <w:name w:val="Intense Emphasis"/>
    <w:uiPriority w:val="21"/>
    <w:qFormat/>
    <w:rsid w:val="005F3852"/>
    <w:rPr>
      <w:b/>
      <w:bCs/>
      <w:i/>
      <w:iCs/>
      <w:color w:val="4F81BD"/>
    </w:rPr>
  </w:style>
  <w:style w:type="paragraph" w:customStyle="1" w:styleId="Default">
    <w:name w:val="Default"/>
    <w:rsid w:val="00631B17"/>
    <w:pPr>
      <w:autoSpaceDE w:val="0"/>
      <w:autoSpaceDN w:val="0"/>
      <w:adjustRightInd w:val="0"/>
    </w:pPr>
    <w:rPr>
      <w:rFonts w:ascii="Arial" w:eastAsia="Calibri" w:hAnsi="Arial" w:cs="Arial"/>
      <w:color w:val="000000"/>
      <w:sz w:val="24"/>
      <w:szCs w:val="24"/>
    </w:rPr>
  </w:style>
  <w:style w:type="paragraph" w:customStyle="1" w:styleId="ParaNum">
    <w:name w:val="Para_Num"/>
    <w:basedOn w:val="ListParagraph"/>
    <w:link w:val="ParaNumChar1"/>
    <w:qFormat/>
    <w:rsid w:val="0016067E"/>
    <w:pPr>
      <w:numPr>
        <w:numId w:val="14"/>
      </w:numPr>
      <w:spacing w:after="200" w:line="240" w:lineRule="auto"/>
      <w:ind w:left="709" w:hanging="709"/>
    </w:pPr>
    <w:rPr>
      <w:bCs/>
    </w:rPr>
  </w:style>
  <w:style w:type="paragraph" w:customStyle="1" w:styleId="ParaSubNum">
    <w:name w:val="Para_Sub_Num"/>
    <w:basedOn w:val="ParaNum"/>
    <w:link w:val="ParaSubNumChar1"/>
    <w:qFormat/>
    <w:rsid w:val="0062581D"/>
    <w:pPr>
      <w:numPr>
        <w:ilvl w:val="1"/>
      </w:numPr>
      <w:ind w:left="1134" w:hanging="425"/>
    </w:pPr>
  </w:style>
  <w:style w:type="character" w:customStyle="1" w:styleId="ListParagraphChar">
    <w:name w:val="List Paragraph Char"/>
    <w:link w:val="ListParagraph"/>
    <w:uiPriority w:val="34"/>
    <w:rsid w:val="00EC0EB3"/>
    <w:rPr>
      <w:rFonts w:ascii="Arial" w:eastAsia="Calibri" w:hAnsi="Arial" w:cs="Times New Roman"/>
    </w:rPr>
  </w:style>
  <w:style w:type="character" w:customStyle="1" w:styleId="ParaNumChar">
    <w:name w:val="Para_Num Char"/>
    <w:rsid w:val="00EC0EB3"/>
    <w:rPr>
      <w:rFonts w:ascii="Arial" w:eastAsia="Calibri" w:hAnsi="Arial" w:cs="Times New Roman"/>
    </w:rPr>
  </w:style>
  <w:style w:type="paragraph" w:customStyle="1" w:styleId="ParaSubSubNum">
    <w:name w:val="Para_Sub_Sub_Num"/>
    <w:basedOn w:val="ParaSubNum"/>
    <w:link w:val="ParaSubSubNumChar"/>
    <w:qFormat/>
    <w:rsid w:val="00585B8A"/>
    <w:pPr>
      <w:numPr>
        <w:ilvl w:val="3"/>
      </w:numPr>
      <w:ind w:left="1701" w:hanging="567"/>
    </w:pPr>
  </w:style>
  <w:style w:type="character" w:customStyle="1" w:styleId="ParaNumChar1">
    <w:name w:val="Para_Num Char1"/>
    <w:link w:val="ParaNum"/>
    <w:rsid w:val="0016067E"/>
    <w:rPr>
      <w:rFonts w:ascii="Arial" w:eastAsia="Calibri" w:hAnsi="Arial" w:cs="Times New Roman"/>
      <w:bCs/>
    </w:rPr>
  </w:style>
  <w:style w:type="character" w:customStyle="1" w:styleId="ParaSubNumChar">
    <w:name w:val="Para_Sub_Num Char"/>
    <w:rsid w:val="00EC0EB3"/>
    <w:rPr>
      <w:rFonts w:ascii="Arial" w:eastAsia="Calibri" w:hAnsi="Arial" w:cs="Times New Roman"/>
      <w:bCs/>
    </w:rPr>
  </w:style>
  <w:style w:type="character" w:styleId="Hyperlink">
    <w:name w:val="Hyperlink"/>
    <w:uiPriority w:val="99"/>
    <w:unhideWhenUsed/>
    <w:rsid w:val="00A73434"/>
    <w:rPr>
      <w:color w:val="0000FF"/>
      <w:u w:val="single"/>
    </w:rPr>
  </w:style>
  <w:style w:type="character" w:customStyle="1" w:styleId="ParaSubNumChar1">
    <w:name w:val="Para_Sub_Num Char1"/>
    <w:link w:val="ParaSubNum"/>
    <w:rsid w:val="0062581D"/>
    <w:rPr>
      <w:rFonts w:ascii="Arial" w:eastAsia="Calibri" w:hAnsi="Arial" w:cs="Times New Roman"/>
      <w:bCs/>
    </w:rPr>
  </w:style>
  <w:style w:type="character" w:customStyle="1" w:styleId="ParaSubSubNumChar">
    <w:name w:val="Para_Sub_Sub_Num Char"/>
    <w:link w:val="ParaSubSubNum"/>
    <w:rsid w:val="00585B8A"/>
    <w:rPr>
      <w:rFonts w:ascii="Arial" w:eastAsia="Calibri" w:hAnsi="Arial" w:cs="Times New Roman"/>
      <w:bCs/>
    </w:rPr>
  </w:style>
  <w:style w:type="character" w:styleId="CommentReference">
    <w:name w:val="annotation reference"/>
    <w:uiPriority w:val="99"/>
    <w:semiHidden/>
    <w:unhideWhenUsed/>
    <w:rsid w:val="00536F3D"/>
    <w:rPr>
      <w:sz w:val="16"/>
      <w:szCs w:val="16"/>
    </w:rPr>
  </w:style>
  <w:style w:type="paragraph" w:styleId="CommentText">
    <w:name w:val="annotation text"/>
    <w:basedOn w:val="Normal"/>
    <w:link w:val="CommentTextChar"/>
    <w:uiPriority w:val="99"/>
    <w:semiHidden/>
    <w:unhideWhenUsed/>
    <w:rsid w:val="00536F3D"/>
    <w:pPr>
      <w:spacing w:line="240" w:lineRule="auto"/>
    </w:pPr>
    <w:rPr>
      <w:sz w:val="20"/>
      <w:szCs w:val="20"/>
    </w:rPr>
  </w:style>
  <w:style w:type="character" w:customStyle="1" w:styleId="CommentTextChar">
    <w:name w:val="Comment Text Char"/>
    <w:link w:val="CommentText"/>
    <w:uiPriority w:val="99"/>
    <w:semiHidden/>
    <w:rsid w:val="00536F3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36F3D"/>
    <w:rPr>
      <w:b/>
      <w:bCs/>
    </w:rPr>
  </w:style>
  <w:style w:type="character" w:customStyle="1" w:styleId="CommentSubjectChar">
    <w:name w:val="Comment Subject Char"/>
    <w:link w:val="CommentSubject"/>
    <w:uiPriority w:val="99"/>
    <w:semiHidden/>
    <w:rsid w:val="00536F3D"/>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536F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36F3D"/>
    <w:rPr>
      <w:rFonts w:ascii="Tahoma" w:eastAsia="Calibri" w:hAnsi="Tahoma" w:cs="Tahoma"/>
      <w:sz w:val="16"/>
      <w:szCs w:val="16"/>
    </w:rPr>
  </w:style>
  <w:style w:type="paragraph" w:styleId="TOC1">
    <w:name w:val="toc 1"/>
    <w:basedOn w:val="Normal"/>
    <w:next w:val="Normal"/>
    <w:autoRedefine/>
    <w:uiPriority w:val="39"/>
    <w:unhideWhenUsed/>
    <w:rsid w:val="006F0313"/>
    <w:pPr>
      <w:spacing w:after="100"/>
    </w:pPr>
  </w:style>
  <w:style w:type="paragraph" w:styleId="Revision">
    <w:name w:val="Revision"/>
    <w:hidden/>
    <w:uiPriority w:val="99"/>
    <w:semiHidden/>
    <w:rsid w:val="00310624"/>
    <w:rPr>
      <w:rFonts w:ascii="Arial Narrow" w:eastAsia="Calibri" w:hAnsi="Arial Narrow"/>
      <w:sz w:val="22"/>
      <w:szCs w:val="22"/>
      <w:lang w:eastAsia="en-US"/>
    </w:rPr>
  </w:style>
  <w:style w:type="character" w:customStyle="1" w:styleId="table-date">
    <w:name w:val="table-date"/>
    <w:basedOn w:val="DefaultParagraphFont"/>
    <w:rsid w:val="008E032D"/>
  </w:style>
  <w:style w:type="paragraph" w:customStyle="1" w:styleId="pf0">
    <w:name w:val="pf0"/>
    <w:basedOn w:val="Normal"/>
    <w:rsid w:val="008E032D"/>
    <w:pPr>
      <w:spacing w:before="100" w:beforeAutospacing="1" w:after="100" w:afterAutospacing="1" w:line="240" w:lineRule="auto"/>
      <w:jc w:val="left"/>
    </w:pPr>
    <w:rPr>
      <w:rFonts w:ascii="Times New Roman" w:eastAsia="Times New Roman" w:hAnsi="Times New Roman"/>
      <w:sz w:val="24"/>
      <w:szCs w:val="24"/>
      <w:lang w:eastAsia="en-AU"/>
    </w:rPr>
  </w:style>
  <w:style w:type="character" w:customStyle="1" w:styleId="cf01">
    <w:name w:val="cf01"/>
    <w:basedOn w:val="DefaultParagraphFont"/>
    <w:rsid w:val="008E032D"/>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ranet.albany.wa.gov.au/documents/1073/release-form-for-recorded-material-(cctv-surveillance-photographs-audio)" TargetMode="External"/><Relationship Id="rId4" Type="http://schemas.openxmlformats.org/officeDocument/2006/relationships/styles" Target="styles.xml"/><Relationship Id="rId9" Type="http://schemas.openxmlformats.org/officeDocument/2006/relationships/hyperlink" Target="https://intranet.albany.wa.gov.au/documents/413/code-of-conduct-for-persons-with-access-to-recorded-material-(audio-cctv-camera-foot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32006-7F74-4C76-8BA8-76D1FA9D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stuartj</dc:creator>
  <cp:keywords/>
  <cp:lastModifiedBy>Stuart Jamieson</cp:lastModifiedBy>
  <cp:revision>6</cp:revision>
  <cp:lastPrinted>2013-08-01T09:07:00Z</cp:lastPrinted>
  <dcterms:created xsi:type="dcterms:W3CDTF">2022-11-25T03:58:00Z</dcterms:created>
  <dcterms:modified xsi:type="dcterms:W3CDTF">2022-11-25T03:58:00Z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